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refa_devsecops_longitudinal</w:t>
      </w:r>
    </w:p>
    <w:p>
      <w:r>
        <w:t xml:space="preserve"> </w:t>
      </w:r>
    </w:p>
    <w:p>
      <w:pPr>
        <w:pStyle w:val="Heading2"/>
      </w:pPr>
      <w:r>
        <w:t>Title</w:t>
      </w:r>
    </w:p>
    <w:p>
      <w:r>
        <w:t>A longitudinal evaluation of REFA: integrating IEC 62443-4-1 grounded continuous security compliance into DevOps</w:t>
      </w:r>
    </w:p>
    <w:p>
      <w:r>
        <w:t xml:space="preserve"> </w:t>
      </w:r>
    </w:p>
    <w:p>
      <w:pPr>
        <w:pStyle w:val="Heading2"/>
      </w:pPr>
      <w:r>
        <w:t>Short Hypothesis</w:t>
      </w:r>
    </w:p>
    <w:p>
      <w:r>
        <w:t>Adopting the REFA lifecycle (automated clause→artifact evidence, policy-as-code gates, and role-based training) causes a measurable increase in team Audit Readiness Score compared to teams that do not adopt REFA.</w:t>
      </w:r>
    </w:p>
    <w:p>
      <w:r>
        <w:t xml:space="preserve"> </w:t>
      </w:r>
    </w:p>
    <w:p>
      <w:pPr>
        <w:pStyle w:val="Heading2"/>
      </w:pPr>
      <w:r>
        <w:t>Related Work</w:t>
      </w:r>
    </w:p>
    <w:p>
      <w:r>
        <w:t>Existing work integrates security into DevOps via DevSecOps practices, policy-as-code, continuous scanning (SAST/SCA), SBOMs, and artifact signing. Prior approaches focus on tooling or isolated checks rather than a prescriptive lifecycle tied to a specific industrial standard. Studies of continuous compliance report limited operational mappings from standard clauses to artifacts, sparse evidence-chain integrity controls, and few longitudinal or causal evaluations. Simulation and stepped deployment methods have been proposed for organizational interventions, but existing studies often lack reproducible power analyses, assessor calibration, and validated composite readiness metrics. Limitations therefore include weak construct validity for readiness measures, incomplete automation of evidence collection, insufficient assessor reliability reporting, and limited handling of monorepo attribution and contamination between teams.</w:t>
      </w:r>
    </w:p>
    <w:p>
      <w:r>
        <w:t xml:space="preserve"> </w:t>
      </w:r>
    </w:p>
    <w:p>
      <w:pPr>
        <w:pStyle w:val="Heading2"/>
      </w:pPr>
      <w:r>
        <w:t>Abstract</w:t>
      </w:r>
    </w:p>
    <w:p>
      <w:r>
        <w:t>Critical-infrastructure teams need DevOps practices that continuously satisfy security standards. We propose and evaluate REFA, a prescriptive DevOps lifecycle that maps IEC 62443-4-1 clauses to concrete artifacts, automates evidence collection in CI/CD, encodes policy-as-code gates, and provides role-based training for knowledge transfer. The research contribution is a reproducible package: a clause→artifact matrix, evidence schema and append-only evidence store, automated verification (artifact signing and anchored Merkle proofs), operational metrics (Audit Readiness Score and derived indicators), and a pre-registered longitudinal trial design. We will run a cluster-randomized stepped-wedge deployment across product teams, instrument telemetry, and analyze effects with mixed-effects models and mediation tests to quantify how automation and training change readiness and remediation times. Expected outcomes are (1) validated, reproducible metrics for continuous compliance, (2) evidence that REFA increases readiness and reduces mean time to remediation, and (3) open artifacts for practitioners to implement standard-aligned DevSecOps.</w:t>
      </w:r>
    </w:p>
    <w:p>
      <w:r>
        <w:t xml:space="preserve"> </w:t>
      </w:r>
    </w:p>
    <w:p>
      <w:pPr>
        <w:pStyle w:val="Heading2"/>
      </w:pPr>
      <w:r>
        <w:t>Methodology</w:t>
      </w:r>
    </w:p>
    <w:p>
      <w:r>
        <w:t>1. Clause mapping: create a clause→artifact matrix where each IEC 62443-4-1 clause is paired with expected artifact types (e.g., SAST JSON, SBOM, cosign signature) and minimal acceptance criteria. 2. Evidence schema: define evidence_record.json with fields (clause_id, artifact_uri, artifact_hash, pipeline_job_id, commit_hash, verifier, timestamp, verification_status). 3. CI integration: add pipeline jobs (SAST, SBOM, attestations) that emit artifacts and upload to an append-only evidence store. SAST = static application security testing (scan code for vulnerabilities). SBOM = software bill of materials (list of components). 4. Signing and anchoring: sign artifacts with sigstore/cosign (tool to sign artifacts) and compute nightly Merkle roots (Merkle root = single hash summarizing many artifacts) anchored to a ledger for tamper-evidence. 5. Policy-as-code: implement OPA/Rego policies that assert artifact presence and thresholds; CI gates emit policy failures as structured events. 6. Training and fidelity: deliver role-based workshops and microlearning; collect competency quizzes and artifact-rubric scores. 7. Instrumentation: stream events to Kafka and store metrics in time-series DB; compute Audit Readiness Score as percent of REFA requirements with valid evidence within retention window. 8. Trial design: implement stepped-wedge cluster rollout, log randomization seed, collect repeated measures. 9. Analysis: fit mixed-effects models for primary outcome and mediation models to assess training vs automation contributions. 10. Reproducibility: publish clause matrix, evidence schema, simulation seeds, and analysis scripts in the repository.</w:t>
      </w:r>
    </w:p>
    <w:p>
      <w:r>
        <w:t xml:space="preserve"> </w:t>
      </w:r>
    </w:p>
    <w:p>
      <w:pPr>
        <w:pStyle w:val="Heading2"/>
      </w:pPr>
      <w:r>
        <w:t>Experiments</w:t>
      </w:r>
    </w:p>
    <w:p>
      <w:r>
        <w:t>Datasets: production repositories from 8–12 product teams (cluster units) in critical infrastructure settings, plus simulated datasets produced by the /simulations scripts (parameters seeded). Baselines: (A) status quo DevOps with ad hoc security checks, (B) policy-as-code automation only, (C) training-only intervention. Treatments: full REFA (automation + policy-as-code + training). Evaluation metrics: Primary = Audit Readiness Score (numerator = count of REFA requirements with valid evidence_record.json within retention window; denominator = total REFA requirements; unit = percent). Secondary = Compliance drift (violations per 100 commits), Mean Time To Compliance Remediation (median hours from detection to verification), Security defect density (defects per KLOC), Policy gate false positive rate (percent), Assessor interrater reliability (Cohen's kappa or ICC). Experimental setup: stepped-wedge rollout with steps=4, clusters=8–12, weekly measurement waves for 12 weeks pre-and-post adoption per cluster, attrition scenario 10% per cluster. Randomization: constrained randomization balancing baseline readiness and tech stack; seed archived. Analysis: mixed-effects linear model for Audit Readiness with random intercepts for team and individual; negative-binomial mixed model for violation counts; Cox model for time-to-remediation with cluster-robust SEs. Ablation study: compare full REFA vs REFA minus training to measure mediation; compare REFA vs policy-as-code-only to isolate automation effect. Power/sensitivity: run Monte Carlo simulations across ICC={0.05,0.10,0.15}, effect sizes d={0.3,0.5}, clusters={8,10,12}, and report full MDE/power curves with reproducible seeds. Reproducibility: commit all simulation code, seeds, and analysis notebooks to the repository.</w:t>
      </w:r>
    </w:p>
    <w:p>
      <w:r>
        <w:t xml:space="preserve"> </w:t>
      </w:r>
    </w:p>
    <w:p>
      <w:pPr>
        <w:pStyle w:val="Heading2"/>
      </w:pPr>
      <w:r>
        <w:t>Risk Factors And Limitations</w:t>
      </w:r>
    </w:p>
    <w:p>
      <w:r>
        <w:t>Assessor reliability: low interrater agreement will reduce effective sample size and bias readiness measures. Gaming: teams may alter behavior to pass automated checks without genuine compliance. Contamination: knowledge or artifacts may spill over between clusters, biasing treatment effects. Measurement bias: automated tools (SAST/SCA) produce false positives/negatives affecting metrics. Legal/privacy: anchoring proofs to public ledgers may leak metadata; pseudonymization may be reversible under some conditions. Compute/storage costs: CI scans, WORM storage, and ledger anchoring impose recurring costs that limit scalability. Generalization: results from critical-infrastructure teams and IEC 62443 may not generalize to other domains or standards. Small effect sizes: intervention effects may be below detection thresholds given feasible cluster counts. Monorepo attribution: attributing commits to teams is imperfect and may misassign violations. Ethical/regulatory constraints: data sharing and IRB/DSA approvals may restrict available telemetry and reduce analysis power.</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