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MOMA-AC: a preference-conditioned actor-critic framework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a single preference-conditioned multi-headed actor per agent together with a centralized vector critic (instantiated with TD3/DDPG) yields policies that cover Pareto-optimal trade-offs and achieve higher hypervolume and sample efficiency than training separate scalarized policies or linear-scalarization baselines under the same compute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multi-objective reinforcement learning either train separate scalarized policies per preference or use preference-conditioned policies in single-agent settings. In multi-agent RL, centralized training with decentralized execution (CTDE) and centralized critics (TD3/DDPG) improve stability, but prior multi-objective multi-agent work often scales poorly with agent count or objective dimensionality. Multi-headed actors and preference conditioning have been proposed to represent multiple trade-offs within one network, but prior methods face unresolved issues: (1) off-policy replay with heterogeneous preferences introduces bias, (2) credit assignment across agents and objectives is noisy and expensive, (3) centralized critics grow large with many agents/objectives, and (4) there is a lack of standardized continuous MOMARL benchmarks for reproducible evaluation. These limitations motivate a unified framework combining preference conditioning, centralized vector critics, and scalable architectural/ replay remedies.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MOMA-AC, a preference-conditioned actor-critic framework for continuous multi-objective multi-agent reinforcement learning. The method trains a single multi-headed actor per agent that receives an explicit preference vector and a centralized vector critic that predicts per-objective Q-values; together they encode multiple Pareto-optimal trade-offs in one policy. MOMA-AC integrates twin/ensemble critics (TD3/DDPG style) for stable targets, preference-aware replay strategies, and marginal-expectation estimators for per-agent credit assignment. Architectural measures (factorized critic, low-rank output heads) and regularizers (Lipschitz smoothing in preference, head diversity) control scalability and specialization. The main contribution is a practical, end-to-end training recipe that represents Pareto fronts within single neural policies and a companion continuous MOMARL test suite and diagnostics for reproducible evaluation. We expect MOMA-AC to improve Pareto coverage and sample efficiency versus separate-policy and linear-scalarization baselines while providing tools to diagnose replay bias and critic instability.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agents with preference-conditioned multi-headed actors and a centralized vector critic that outputs K per-objective Q-values. Components: (1) Actor: a neural network that takes local observation and preference vector w and produces a shared feature trunk plus H heads; each head maps to a deterministic action for a prototype preference or directly parameterizes a conditional action via FiLM or concatenation. Multi-headed means multiple output heads within one network; FiLM (feature-wise linear modulation) means scaling and shifting features by functions of w. (2) Critic: centralized vector critic that takes joint observations and joint actions and outputs a K-dimensional Q-vector; use twin critics (two networks) and take elementwise minimum for targets (TD3-style). Optionally implement a factorized critic: per-agent encoders whose outputs are aggregated (sum or attention) before heads to reduce input size. (3) Replay: store transitions with associated w; support three regimes: shared buffer (store w), per-prototype buffers (discretize w), and shared+importance-sampling (weight TD loss by p_target(w)/p_buffer(w)). (4) Losses: critic loss = sum over objectives of MSE to target r_k + γ·Q_k(next); actor loss = maximize scalarized utility U(w, Q(s,π(s,w))) using deterministic policy gradient; add regularizers: Lipschitz-in-w penalty approximated by finite differences, head diversity loss (encourage different heads to produce distinct actions), and orthogonality penalty on head weights. (5) Credit assignment: for agent i estimate advantage by marginal expectation: A_i ≈ Q(s,a) − (1/N)∑_{j=1}^N Q(s,(a_i^{(j)},a_{−i})) where a_i^{(j)} are samples from agent i’s policy; implement learned marginal baseline as an optional amortized estimator. Training loop: collect transitions with sampled w (Dirichlet), add noise to actions during exploration (TD3 noise), sample batches (batch_size=256) and update twin critics every step, update actor every policy_delay steps, update target networks with polyak averaging τ≈0.005. Diagnostics: probe on-policy TD targets for a held set of w, log MSE_replay(w), critic ensemble std, and marginal estimator variance. Hyperparameters (defaults): critic_lr=1e-3, actor_lr=1e-4, γ=0.99, batch_size=256, Dirichlet α∈[0.3,1.0], N_marginal_train∈{1,8}, N_marginal_eval=32. Implementation notes: normalize per-objective rewards online (Welford) and clip normalized rewards; implement low-rank head parametrization W=U V^T for large K to save parameters.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use the proposed continuous MOMARL suite with at least six tasks: (A) locomotion tasks (2–5 agents) trading speed, energy, collisions; (B) resource allocation (throughput, fairness, latency); (C) predator-prey (efficiency, safety, energy). Each env supports continuous states/actions, vector rewards (K=2..10), and CTDE interface. Baselines: (1) per-preference training: train separate scalarized policies for each w, (2) single-head conditional policy (one conditional head instead of multi-headed), (3) linear-scalarization baseline (single objective scalarized reward), and (4) multi-headed actor without centralized critic. Algorithms: instantiate MOMA-AC with TD3 and with DDPG variants. Evaluation metrics: hypervolume (HV) with fixed reference, IGD+, spacing, dominated fraction, utility-weighted regret, smoothness metric (finite-difference L2 action change per Δw), critic diagnostics (per-objective TD error, ensemble std), and marginal estimator variance. Experimental setup: pilot: 3 conditions (MOMA-AC multi-headed, single-head conditional, linear baseline) × 5 seeds = 15 runs, training 200k environment steps per run, batch_size=256, evaluate dense preference grid of 100 w points every 5k steps; full study: extend to ≥20 seeds per condition and 200–500k steps. Ablations: (A) replay regimes A/B/C (shared, per-prototype, shared+IS) compare MSE_replay(w), HV and ensemble std; (B) marginal estimator N∈{1,8,32} measure estimator variance vs actor update variance and wall-clock cost; (C) critic architectures: full centralized vs factorized vs low-rank heads measure FLOPs, memory, and HV vs compute; (D) regularizers on/off: Lipschitz, diversity, orthogonality measure head specialization score and Pareto coverage. Reporting: report medians and 95% bootstrap CIs over seeds, perform nonparametric pairwise tests with multiple-comparison correction, and provide per-w Pareto plots and learning curves (HV vs steps).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off-policy replay bias from heterogeneous stored preferences can corrupt critic targets and degrade learning; importance-sampling can add high variance. Credit-assignment: marginal-expectation estimators are computationally expensive and have high variance for small N. Scalability limits: centralized critic input and output sizes grow with agent count M and objective dimension K; memory and compute may become prohibitive for large M or K. Co-learning non-stationarity: when partners are also learning, ε_π can grow and theoretical guarantees weaken. Scalarization assumptions: the bound requires U(w,·) be Lipschitz; non-Lipschitz or highly non-convex utilities can break interpolation and Pareto coverage. Evaluation biases: HV and IGD+ depend on reference points and normalization; reward scaling errors will mislead comparisons. Compute constraints: reproducible sweeps need large GPU budgets (hundreds to thousands of GPU-hours) for robust seed counts. Generalization limits: policies may not generalize to out-of-prototype preferences or adversarial partner changes without additional curricula. Sample-complexity: theoretical finite-sample constants are not tight; mapping compute budget to ε_Q and ε_π may be imprecise in practice.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