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frequency_metadescriptor_streams</w:t>
      </w:r>
    </w:p>
    <w:p>
      <w:r>
        <w:t xml:space="preserve"> </w:t>
      </w:r>
    </w:p>
    <w:p>
      <w:pPr>
        <w:pStyle w:val="Heading2"/>
      </w:pPr>
      <w:r>
        <w:t>Title</w:t>
      </w:r>
    </w:p>
    <w:p>
      <w:r>
        <w:t>Variance-filtered frequency metadescriptors for identifying and grouping concepts in nonstationary data streams</w:t>
      </w:r>
    </w:p>
    <w:p>
      <w:r>
        <w:t xml:space="preserve"> </w:t>
      </w:r>
    </w:p>
    <w:p>
      <w:pPr>
        <w:pStyle w:val="Heading2"/>
      </w:pPr>
      <w:r>
        <w:t>Short Hypothesis</w:t>
      </w:r>
    </w:p>
    <w:p>
      <w:r>
        <w:t>Computing batch-wise metadescriptors by selecting frequency components with high between-batch variance and clustering those metadescriptors yields at least a 5% absolute improvement in Adjusted Rand Index (ARI) for concept separation and a reduced median detection latency compared to per-frequency thresholding on correlated-frequency nonstationary streams.</w:t>
      </w:r>
    </w:p>
    <w:p>
      <w:r>
        <w:t xml:space="preserve"> </w:t>
      </w:r>
    </w:p>
    <w:p>
      <w:pPr>
        <w:pStyle w:val="Heading2"/>
      </w:pPr>
      <w:r>
        <w:t>Related Work</w:t>
      </w:r>
    </w:p>
    <w:p>
      <w:r>
        <w:t>Prior approaches analyze nonstationary streams either in the original feature space (windowed statistics, drift detectors) or in frequency-like transforms (STFT, wavelets) using per-frequency tests or global covariance tests. Streaming subspace learning methods (Oja, GROUSE) and sketching (Frequent Directions, randomized projections) are used for scalable covariance estimation. Robust statistics (MAD, median-of-means, Catoni estimators) address heavy tails. Limitations: (1) many methods test frequencies independently and ignore cross-frequency covariance, reducing power when informative structure is multivariate; (2) finite-sample calibration and sequential Type‑I control under temporal dependence are often heuristic; (3) learned or hard frequency masks can produce reconstruction artifacts and lose semantic fidelity; (4) sketching and low-rank approximations lack quantified impact on detection power for low-energy but semantically important components; (5) heavy-tail robustness is not consistently integrated into covariance-based detectors; (6) bootstrap calibration is computationally heavy and sensitive to block-length choices.</w:t>
      </w:r>
    </w:p>
    <w:p>
      <w:r>
        <w:t xml:space="preserve"> </w:t>
      </w:r>
    </w:p>
    <w:p>
      <w:pPr>
        <w:pStyle w:val="Heading2"/>
      </w:pPr>
      <w:r>
        <w:t>Abstract</w:t>
      </w:r>
    </w:p>
    <w:p>
      <w:r>
        <w:t>We propose a streaming method that builds compact, semantically meaningful metadescriptors for nonstationary data streams by filtering frequency components of batch feature vectors based on variance across batches. For each batch, we transform samples to a frequency basis, estimate per-frequency reliability with robust estimators, apply soft variance-based weights to retain informative components, and reconstruct a compact spatial prototype plus a frequency-statistics vector as the metadescriptor. We pair this representation with multivariate online tests — a small-subspace projection test and an eigenvalue GLR test on the batch frequency covariance — to detect concept changes and feed metadescriptors into an online clustering layer. Main contributions are: (1) a variance-filtered frequency metadescriptor that preserves spatial semantics while reducing dimensionality; (2) combined per-frequency robust statistics and multivariate tests with finite-sample calibration guidance; (3) an evaluation plan including sketch-rank sweeps, within-batch drift handling, and reconstruction-fidelity measures. The outcome is an interpretable streaming pipeline that improves concept separation and enables visualizable prototypes in the original domain.</w:t>
      </w:r>
    </w:p>
    <w:p>
      <w:r>
        <w:t xml:space="preserve"> </w:t>
      </w:r>
    </w:p>
    <w:p>
      <w:pPr>
        <w:pStyle w:val="Heading2"/>
      </w:pPr>
      <w:r>
        <w:t>Methodology</w:t>
      </w:r>
    </w:p>
    <w:p>
      <w:r>
        <w:t>1) Data batching: collect successive batches of m sample feature vectors of dimension d. Use overlapping windows with hop H &lt; L to enable within-batch checks. 2) Transform: apply a chosen orthonormal transform F (DFT/DCT/wavelet) to each sample to obtain complex frequency coefficients y_{i,k}. (DFT: discrete Fourier transform; DCT: cosine transform). Optionally learn a basis U_r online (Oja/GROUSE) for r&lt;&lt;d. 3) Per-frequency statistics: across samples in a batch, compute robust mean and scale per frequency: use Catoni M-estimator for mean and MAD or Catoni variance for scale; for covariance of frequency bins use Median-of-Means (MOM) with B≈⌈√m⌉ blocks. (MAD: median absolute deviation; MOM: median of block means.) 4) Variance filtering and soft mask: compute reliability var_k and form soft weights w_k = var_k/(var_k + λ) (Wiener-like). Choose λ≈estimated noise variance. Avoid hard binary masks to reduce ringing. 5) Metadescriptor construction: (a) weighted inverse transform x_meta = F^{-1}(w ∘ pooled_coeffs) producing a spatial prototype, (b) compact frequency-statistics vector s_meta = top-K weighted var_k plus reliability CIs. 6) Multivariate detection: compute batch frequency covariance S_b = (1/(m-1)) Y_b^* Y_b. Maintain historical null Σ_0 and null-subspace U0 with EWMA or Oja updates. Run two tests: (a) small-subspace T_b = ||U0_⊥^T S_b U0_⊥||_F, (b) eigenvalue GLR: monitor top-r eigenvalues of S_b − Σ_0 and compare ∑_{j=1}^r λ_j/σ̂0^2 to threshold. Calibrate thresholds with Tracy–Widom when warranted or parametric/block bootstrap otherwise. 7) Clustering and meta-learning: feed metadescriptors to an online assignment layer (mini-batch k-means or cosine nearest-prototype) and a slow Dirichlet-Process Gaussian Mixture (mini-batch variational) to allow cluster birth/merge; enforce temporal hysteresis (H_on/H_off) for stability. 8) Adaptive batching and within-batch drift: run lightweight internal CUSUM on frequency coefficients; if detected split batch and treat sub-batches separately. 9) Scalability options: for large d use Frequent Directions or SRHT sketches to approximate S_b and obtain top eigenvalues with reduced memory; sweep sketch rank r to trade memory vs detection power. 10) Outputs: per-batch metadescriptor (x_meta, s_meta), detection flags, cluster assignments, and visualization artifacts (reconstructed prototypes and frequency heatmaps).</w:t>
      </w:r>
    </w:p>
    <w:p>
      <w:r>
        <w:t xml:space="preserve"> </w:t>
      </w:r>
    </w:p>
    <w:p>
      <w:pPr>
        <w:pStyle w:val="Heading2"/>
      </w:pPr>
      <w:r>
        <w:t>Experiments</w:t>
      </w:r>
    </w:p>
    <w:p>
      <w:r>
        <w:t>Datasets: (A) Synthetic controlled harmonics generator: configurable number of harmonics, correlated leakage, within-batch drift, SNR sweep, and heavy-tail noise via Student-t with varying degrees of freedom; fixed seeds. (B) Real moderate stream: multichannel accelerometer or environmental audio with annotated regimes. (C) Heavy-tailed stream: financial tick-like or EEG-like dataset with labeled state changes. Baselines: (1) raw-space windowed clustering (no transform), (2) STFT/wavelet without variance filtering, (3) per-frequency independent thresholding with BH FDR, (4) covariance GLR without variance filtering, (5) learned-basis pipeline without variance filtering, (6) oracle supervised clustering. Evaluation metrics: Adjusted Rand Index (ARI), Normalized Mutual Information (NMI), detection latency distribution (median, IQR), false discovery rate (FDR), reconstruction L2 error to batch mean, percent spectral energy preserved, mask Jaccard similarity, throughput (samples/sec), and memory per batch. Experimental setup: Dockerized runs, fixed seeds, 30 random seeds per condition, bootstrap 95% confidence intervals. Parameter sweeps and ablations: (A) batch size m sweep to validate guideline m ≥ (8 σ_sub^4/ε^2) log(d/α); (B) robust estimator ablation: sample variance vs MAD vs Catoni vs MOM; (C) transform ablation: DFT, DCT, STFT, wavelet, learned U_r; (D) masking ablation: hard top-K vs soft Wiener-like with λ grid; (E) sketch rank sweep: Frequent Directions and SRHT r ∈ {10,50,100,200} reporting detection power and memory/latency; (F) within-batch drift: overlapping-window hop H variation and CUSUM threshold η sweep. Compare per-bin thresholding vs covariance GLR pairwise at matched FPR and report ARI and median detection latency; report power vs m curves and Pareto fronts (latency vs FPR vs reconstruction error). Provide unit tests with small synthetic cases: low SNR, near-identical concepts, sudden reappearance, long mixing, with explicit numeric tolerances for detection latency and reconstruction error.</w:t>
      </w:r>
    </w:p>
    <w:p>
      <w:r>
        <w:t xml:space="preserve"> </w:t>
      </w:r>
    </w:p>
    <w:p>
      <w:pPr>
        <w:pStyle w:val="Heading2"/>
      </w:pPr>
      <w:r>
        <w:t>Risk Factors And Limitations</w:t>
      </w:r>
    </w:p>
    <w:p>
      <w:r>
        <w:t>1) Probabilistic assumptions: guarantees depend on assumed moment or tail conditions (sub-Gaussian vs finite variance vs heavy-tail index); mismatched assumptions can invalidate calibration and delay bounds. 2) Block-bootstrap calibration: block length choice is sensitive; bootstrap is computationally intensive and may add unacceptable latency in strict streaming settings. 3) Heavy tails and outliers: robust estimators increase variance and may require larger m, degrading detection delay. 4) Sketching tradeoffs: low sketch rank r can miss low-energy but semantically important frequencies, reducing detection power; quantitative impact must be measured per use case. 5) Transform and masking choices: wrong basis or masking hyperparameters can produce poor reconstruction or loss of semantic content; learned bases risk reduced interpretability. 6) Within-batch drift: rapid intra-batch changes may break batch assumptions and produce mixed metadescriptors. 7) Clustering evaluation bias: synthetic labels may not capture real semantic concepts; ARI/NMI depend on label quality. 8) Visualization instability: streaming embeddings (UMAP/t-SNE) can produce misleading trajectories unless seeded/deterministic baselines are used. 9) Computational limits: covariance estimation, bootstrap, and streaming embeddings can be memory and CPU/GPU heavy for high d; real-time deployment may require amortized or reduced procedures. 10) Unit-test coverage: edge cases (extremely low SNR, near-identical concepts, long mixing) may reveal failures not caught in standard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