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sim2real_ssda_concrete</w:t>
      </w:r>
    </w:p>
    <w:p>
      <w:r>
        <w:t xml:space="preserve"> </w:t>
      </w:r>
    </w:p>
    <w:p>
      <w:pPr>
        <w:pStyle w:val="Heading2"/>
      </w:pPr>
      <w:r>
        <w:t>Title</w:t>
      </w:r>
    </w:p>
    <w:p>
      <w:r>
        <w:t>A self-supervised domain adaptation framework combining BYOL, domain-adversarial training, and minimum class confusion for concrete damage classification from coda-wave signals</w:t>
      </w:r>
    </w:p>
    <w:p>
      <w:r>
        <w:t xml:space="preserve"> </w:t>
      </w:r>
    </w:p>
    <w:p>
      <w:pPr>
        <w:pStyle w:val="Heading2"/>
      </w:pPr>
      <w:r>
        <w:t>Short Hypothesis</w:t>
      </w:r>
    </w:p>
    <w:p>
      <w:r>
        <w:t>Applying a two-stage training pipeline that first uses BYOL self-supervised learning on synthetic coda-wave traces and then jointly adapts with domain-adversarial loss plus minimum class confusion will increase held-out experimental concrete damage classification accuracy by at least 15 percentage points compared to training on synthetic data only.</w:t>
      </w:r>
    </w:p>
    <w:p>
      <w:r>
        <w:t xml:space="preserve"> </w:t>
      </w:r>
    </w:p>
    <w:p>
      <w:pPr>
        <w:pStyle w:val="Heading2"/>
      </w:pPr>
      <w:r>
        <w:t>Related Work</w:t>
      </w:r>
    </w:p>
    <w:p>
      <w:r>
        <w:t>Existing approaches to sim-to-real for ultrasonic/coda-wave damage classification use either (1) purely supervised transfer where synthetic-labeled data pretrain a model and then a small labeled experimental set is fine-tuned, (2) domain-adversarial methods (DANN-style) that attempt to align source and target feature distributions, or (3) discrepancy-based methods using MMD or explicit distribution matching. Self-supervised representation learning (for example contrastive or BYOL-like methods) has been used in other sensing domains to learn robust features without labels. Surrogate simulation pipelines or augmentation strategies have been used to scale synthetic data generation. Limitations: supervised fine-tune needs many real labels; adversarial alignment alone can be unstable and fail when low-level waveform mismatches remain; MMD-based matching can underperform when class-conditional shifts exist; self-supervised transfer without domain alignment may not correct domain-specific nuisances (coupling, instrument TFs). Prior work also often lacks calibrated surrogate-to-FEM mapping, reproducible augmentation metadata, and joint adversarial+contrastive schedules that combine representation quality with class separability.</w:t>
      </w:r>
    </w:p>
    <w:p>
      <w:r>
        <w:t xml:space="preserve"> </w:t>
      </w:r>
    </w:p>
    <w:p>
      <w:pPr>
        <w:pStyle w:val="Heading2"/>
      </w:pPr>
      <w:r>
        <w:t>Abstract</w:t>
      </w:r>
    </w:p>
    <w:p>
      <w:r>
        <w:t>We address reliable concrete damage classification from coda-wave ultrasonic measurements when real labeled data are scarce. We combine a virtual testing platform that produces large-scale labeled synthetic coda-wave traces (using calibrated high-fidelity FEM benchmarks and a fast calibrated surrogate with multiscale degradation knobs) with a self-supervised domain adaptation pipeline. The pipeline uses BYOL to learn robust embeddings, a domain-adversarial loss to align source and target distributions, and a Minimum Class Confusion (MCC) term to preserve class separation on the unlabeled target. The main contribution is a reproducible recipe that ties surrogate calibration, physics-aware augmentations, and a two-stage training schedule into a single SSDA workflow. We expect the approach to reduce sim→real gap proxies (embedding MMD, decay-slope mismatch) and to improve held-out experimental classification accuracy with minimal labeled target samples. The result is a practical, label-efficient method for structural health monitoring with clear reproducibility artifacts and evaluation metrics.</w:t>
      </w:r>
    </w:p>
    <w:p>
      <w:r>
        <w:t xml:space="preserve"> </w:t>
      </w:r>
    </w:p>
    <w:p>
      <w:pPr>
        <w:pStyle w:val="Heading2"/>
      </w:pPr>
      <w:r>
        <w:t>Methodology</w:t>
      </w:r>
    </w:p>
    <w:p>
      <w:r>
        <w:t>Overview: Implement a pipeline that (A) generates and preprocesses synthetic and experimental coda-wave traces with recorded metadata, (B) trains a neural encoder and heads via supervised pretraining on synthetic labels, then (C) adapts to unlabeled experimental data with BYOL + domain-adversarial loss + MCC.</w:t>
        <w:br/>
        <w:br/>
        <w:t>1) Data generation and preprocessing</w:t>
        <w:br/>
        <w:t>- Synthetic data: use hybrid strategy: calibrate a fast surrogate against 200–500 high-fidelity FEM traces using statistics (arrival time, amplitude RMSE, coda decay slope, PSD, BYOL embedding MMD). Sample surrogate priors (aggregate size, volume fraction, Q, crack aperture, coupling impedance, instrument TF, time-zero jitter). Store all priors and augmentations per sample in metadata.</w:t>
        <w:br/>
        <w:t>- Experimental data: acquire raw traces (50–500 kHz), record sensor layout, coupling, environment. Capture a labeled validation subset (50–200 labels/class when possible) and a larger unlabeled pool (~5k traces).</w:t>
        <w:br/>
        <w:t>- Preprocessing pipeline (per trace): time-zero coarse alignment via cross-correlation, zero-phase bandpass 50–500 kHz, optional wavelet denoising, overlapping windows isolating early arrival and late coda, RMS normalization per reference window, store envelope and raw waveform.</w:t>
        <w:br/>
        <w:br/>
        <w:t>2) Model architecture (practical choices, simple terms)</w:t>
        <w:br/>
        <w:t>- Encoder: 1D ResNet-style CNN with residual blocks for waveform inputs. Example: input → conv1d(64,k=9,stride=1) → ResBlock×4 with channels [64,128,256,512] → global average pooling → embedding vector z ∈ R^512. (A residual block is a small set of conv layers with a skip connection.)</w:t>
        <w:br/>
        <w:t>- BYOL projector/predictor: projector MLP 512→512→512 (ReLU), predictor MLP 512→512→512. Classifier head: linear 512→C (C = number of damage classes). Domain discriminator: shallow MLP 512→256→1 (sigmoid) applied via a Gradient Reversal Layer (GRL).</w:t>
        <w:br/>
        <w:br/>
        <w:t>3) Losses (simple formulas and words)</w:t>
        <w:br/>
        <w:t>- Supervised cross-entropy: L_ce = - E_{x_s,y_s} sum_{c} y_{c} log p_{c}.</w:t>
        <w:br/>
        <w:t>- BYOL loss: L_byol = E_{x} || q(p(f(view1(x)))) - stopgrad(z_t(view2(x))) ||^2, where f is encoder, p predictor, projector q mapping; stopgrad freezes the target network. BYOL learns similar embeddings from augmented views.</w:t>
        <w:br/>
        <w:t>- Domain-adversarial loss (DANN): L_adv = E[ - y_domain log D( f(x) ) - (1-y_domain) log (1 - D(f(x)) ) ], applied with GRL so encoder receives reversed gradients to make features domain-invariant.</w:t>
        <w:br/>
        <w:t>- Minimum Class Confusion (MCC): implement as averaged pairwise soft-label confusion: for unlabeled target batch with soft predictions p_i, compute class-confusion matrix M = (P^T P) / N where P stacks p_i; L_mcc = sum_{i!=j} M_{ij} (this penalizes mass assigned across different classes). Simpler: L_mcc = || M - diag(M) ||_1. This encourages confident, class-separated target predictions.</w:t>
        <w:br/>
        <w:br/>
        <w:t>4) Training schedule and optimization</w:t>
        <w:br/>
        <w:t>- Stage A: Supervised pretrain on synthetic only for 10–20 epochs with L_total = L_ce. Optimizer: AdamW, encoder LR=1e-3, weight decay=1e-5, batch_size=128–256.</w:t>
        <w:br/>
        <w:t>- Stage B: Joint adaptation for 30–60 epochs. Per iteration: sample balanced minibatch containing Ns synthetic labeled and Nt unlabeled experimental (Ns:Nt = 1:1 or 2:1). Do the following micro-steps:</w:t>
        <w:br/>
        <w:t xml:space="preserve">  a) BYOL update: compute two augmented views for all samples (both domains), update online encoder and predictor to minimize L_byol; update BYOL target network via EMA: θ_target ← m θ_target + (1-m) θ_online with m starting 0.99 → 0.995.</w:t>
        <w:br/>
        <w:t xml:space="preserve">  b) Adversarial + MCC + supervised update: compute encoder outputs; compute L_ce on synthetic batch, L_adv on both domains with GRL applied to encoder, and L_mcc on unlabeled target soft predictions. Total adaptation loss: L_adapt = λ_ce L_ce + λ_adv L_adv + λ_mcc L_mcc + λ_byol L_byol (if BYOL gradients shared). Use separate optimizers: one optimizer for encoder+classifier (AdamW LR=1e-3), one for discriminator (Adam LR=1e-4). Ramp λ_adv from 0.1→1.0 over first 5–10 adaptation epochs (sigmoid), set λ_byol ≈1.0, λ_mcc ≈0.05–0.2.</w:t>
        <w:br/>
        <w:t>- Stability guards: gradient clipping (max-norm 1.0), discriminator capacity limited (2 layers), discriminator LR smaller (0.1× encoder), spectral norm option for discriminator, optional gradient penalty.</w:t>
        <w:br/>
        <w:br/>
        <w:t>5) Implementation notes</w:t>
        <w:br/>
        <w:t>- BYOL positives: generate two views per sample via augmentations (noise, TF perturbation, time-zero jitter, small time-stretch, window shifts). BYOL needs no negatives.</w:t>
        <w:br/>
        <w:t>- Batch composition: effective GPU batch size 128–256; two views double memory usage; use gradient accumulation if needed.</w:t>
        <w:br/>
        <w:t>- Checkpointing and reproducibility: fix seeds, record container, solver/augment params, and DVC track datasets. Log discriminator accuracy, MMD on embeddings, class entropies, and training losses per step.</w:t>
      </w:r>
    </w:p>
    <w:p>
      <w:r>
        <w:t xml:space="preserve"> </w:t>
      </w:r>
    </w:p>
    <w:p>
      <w:pPr>
        <w:pStyle w:val="Heading2"/>
      </w:pPr>
      <w:r>
        <w:t>Experiments</w:t>
      </w:r>
    </w:p>
    <w:p>
      <w:r>
        <w:t>Dataset splits and sizes:</w:t>
        <w:br/>
        <w:t>- Synthetic: generate 5,000 labeled hybrid traces for pilot (80% train, 10% val, 10% held-out test stratified by damage type and sensor layout). Keep 200–500 FEM high-fidelity traces for surrogate calibration.</w:t>
        <w:br/>
        <w:t>- Experimental: collect ~5,000 unlabeled traces as adaptation pool. Reserve a labeled experimental validation set: 50 labels/class for hyperparameter search and 200 labels/class as held-out test for final reporting if feasible.</w:t>
        <w:br/>
        <w:br/>
        <w:t>Baselines to run (exact):</w:t>
        <w:br/>
        <w:t>1) Source-only supervised: train on synthetic only, test on experimental held-out.</w:t>
        <w:br/>
        <w:t>2) Supervised fine-tune: pretrain on synthetic, fine-tune on small labeled experimental subsets (5,20,50 labels/class).</w:t>
        <w:br/>
        <w:t>3) BYOL-only transfer: pretrain BYOL on synthetic + unlabeled experimental, then train classifier on synthetic embeddings.</w:t>
        <w:br/>
        <w:t>4) DANN (domain-adversarial only): supervised on synthetic + adversarial alignment, no BYOL/MCC.</w:t>
        <w:br/>
        <w:t>5) MMD-based DA: supervised on synthetic with explicit MMD penalty between source and target embeddings.</w:t>
        <w:br/>
        <w:t>6) CDAN/ADDA implementations as additional adversarial baselines.</w:t>
        <w:br/>
        <w:br/>
        <w:t>Evaluation metrics (primary &amp; secondary):</w:t>
        <w:br/>
        <w:t>- Primary endpoint: held-out experimental classification accuracy (macro-averaged) with 95% bootstrap CI (1000 resamples).</w:t>
        <w:br/>
        <w:t>- Secondary: balanced accuracy, per-class F1, AUROC, PR-AUC, Expected Calibration Error (ECE), Brier score, embedding-level MMD (BYOL encoder), A-distance from discriminator, Fréchet Embedding Distance, PSD Wasserstein between domains, coda-energy decay-slope distribution mismatch.</w:t>
        <w:br/>
        <w:br/>
        <w:t>Ablation studies (concrete):</w:t>
        <w:br/>
        <w:t>A) Augmentation ablation: train full pipeline and then remove each of the top-4 augmentations separately: (1) time-zero jitter, (2) instrument TF + correlated noise, (3) mesoscale heterogeneity variability, (4) coupling/contact impedance variability. Report metric deltas.</w:t>
        <w:br/>
        <w:t>B) Fidelity factorial: 2^3 factorial (8 arms) over: mesoscale explicit vs homogenized, viscoelastic Q on/off, crack model linear vs contact nonlinearity. Run full SSDA pipeline on each arm and report primary endpoint with 95% CIs.</w:t>
        <w:br/>
        <w:t>C) Stability interventions ablation: vary discriminator update frequency (disc_steps per encoder step ∈ {1,2,5}), enable/disable spectral norm on discriminator, and enable gradient penalty. Measure convergence stability (discriminator acc near 50%, loss oscillations) and final accuracy.</w:t>
        <w:br/>
        <w:br/>
        <w:t>Experimental setup and reproducibility:</w:t>
        <w:br/>
        <w:t>- Run each experiment with 5 random seeds. Report mean and 95% bootstrap CI. Use paired tests (paired bootstrap) when comparing paired runs. Correct multiple comparisons with Benjamini–Hochberg across ablation arms.</w:t>
        <w:br/>
        <w:t>- Training hyperparameters: pretrain 10–20 epochs, adaptation 30–60 epochs, encoder LR 1e-3 (AdamW), discriminator LR 1e-4, batch size 128–256 effective. Use GPU (e.g., single NVIDIA A100 or equivalent); log GPU memory and wall-clock times.</w:t>
        <w:br/>
        <w:t>- Statistical power and sample guidance: for factorial arms, ensure ≥64 independent held-out experimental samples per arm to detect medium effects (Cohen d≈0.5); prefer 200 samples/arm for per-class analyses.</w:t>
        <w:br/>
        <w:br/>
        <w:t>Reporting:</w:t>
        <w:br/>
        <w:t>- Primary report table: baseline vs proposed method with accuracy and 95% CI, MMD reduction percentage, ECE. Include per-class confusion matrices, calibration plots, and embedding t-SNE/UMAP for qualitative checks.</w:t>
      </w:r>
    </w:p>
    <w:p>
      <w:r>
        <w:t xml:space="preserve"> </w:t>
      </w:r>
    </w:p>
    <w:p>
      <w:pPr>
        <w:pStyle w:val="Heading2"/>
      </w:pPr>
      <w:r>
        <w:t>Risk Factors And Limitations</w:t>
      </w:r>
    </w:p>
    <w:p>
      <w:r>
        <w:t>Technical failure modes:</w:t>
        <w:br/>
        <w:t>- Adversarial instability: discriminator/encoder dynamics can diverge, causing feature collapse or oscillation.</w:t>
        <w:br/>
        <w:t>- BYOL collapse risk: improper EMA momentum or projector/predictor mismatch can lead to collapsed embeddings.</w:t>
        <w:br/>
        <w:br/>
        <w:t>Data and evaluation biases:</w:t>
        <w:br/>
        <w:t>- Synthetic priors mismatch: surrogate priors might not cover real-world specimen variability (sensor coupling, aggregate distributions), causing uncorrectable domain gaps.</w:t>
        <w:br/>
        <w:t>- Labeling noise: expert rubrics and CT/destructive anchors may disagree; intra-rater variability can reduce effective label quality.</w:t>
        <w:br/>
        <w:br/>
        <w:t>Scalability and compute limits:</w:t>
        <w:br/>
        <w:t>- High-fidelity FEM scaling is expensive (100k+ core-hours for large corpora); surrogate calibration depends on enough FEM benchmarks.</w:t>
        <w:br/>
        <w:t>- BYOL and joint training increase memory due to multiple views and EMA networks, limiting batch sizes on constrained GPUs.</w:t>
        <w:br/>
        <w:br/>
        <w:t>Limits to generalization:</w:t>
        <w:br/>
        <w:t>- Learned models may overfit to sensor layout, acquisition system, or specimen geometries used in the pilot, reducing transfer to other sites.</w:t>
        <w:br/>
        <w:t>- Coda-wave signals are highly path-dependent; models may fail when propagation paths or damage mechanisms outside the sampled priors occur.</w:t>
        <w:br/>
        <w:br/>
        <w:t>Evaluation and statistical limits:</w:t>
        <w:br/>
        <w:t>- Small labeled experimental validation sets (5–20 labels/class) limit statistical power and can give high variance estimates of performance.</w:t>
        <w:br/>
        <w:t>- Proxies like MMD or A-distance may not fully predict downstream classification error in all regimes.</w:t>
        <w:br/>
        <w:br/>
        <w:t>Operational constraints:</w:t>
        <w:br/>
        <w:t>- Deployment requires calibration to new sensors and coupling conditions; without this, false alarms or missed detections may increase.</w:t>
        <w:br/>
        <w:br/>
        <w:t>Ethical and practical limits:</w:t>
        <w:br/>
        <w:t>- Destructive validation (CT/X-ray) is costly and limited in sample size, constraining ground-truth certainty for severity labels.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