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reflex_htm_cam</w:t>
      </w:r>
    </w:p>
    <w:p>
      <w:r>
        <w:t xml:space="preserve"> </w:t>
      </w:r>
    </w:p>
    <w:p>
      <w:pPr>
        <w:pStyle w:val="Heading2"/>
      </w:pPr>
      <w:r>
        <w:t>Title</w:t>
      </w:r>
    </w:p>
    <w:p>
      <w:r>
        <w:t>Integrating a hardware‑accelerated reflex memory block with Hierarchical Temporal Memory to speed first‑order sequence prediction in IoT streams</w:t>
      </w:r>
    </w:p>
    <w:p>
      <w:r>
        <w:t xml:space="preserve"> </w:t>
      </w:r>
    </w:p>
    <w:p>
      <w:pPr>
        <w:pStyle w:val="Heading2"/>
      </w:pPr>
      <w:r>
        <w:t>Short Hypothesis</w:t>
      </w:r>
    </w:p>
    <w:p>
      <w:r>
        <w:t>Adding a spinal‑cord‑inspired reflex memory (RM) block backed by a hardware CAM will reduce latency and per‑query compute for repetitive first‑order sequence predictions by at least 50% while keeping multiorder prediction accuracy within 2% of an HTM‑only baseline under the same memory budget.</w:t>
      </w:r>
    </w:p>
    <w:p>
      <w:r>
        <w:t xml:space="preserve"> </w:t>
      </w:r>
    </w:p>
    <w:p>
      <w:pPr>
        <w:pStyle w:val="Heading2"/>
      </w:pPr>
      <w:r>
        <w:t>Related Work</w:t>
      </w:r>
    </w:p>
    <w:p>
      <w:r>
        <w:t>Prior approaches for temporal sequence prediction include Hierarchical Temporal Memory (HTM) for unsupervised sparse distributed representation (SDR) sequence memory, recurrent neural networks (RNNs) and LSTMs for supervised sequence modeling, and approximate nearest neighbor (ANN) caches or hash counters for fast next‑step prediction. Hardware work has built CAMs and banked associative memories to accelerate lookups. Limitations: HTM sequence memory can be slow and resource‑heavy at large scale due to programmable interconnects and multiorder state tracking; RNNs/LSTMs require supervised training, are computation‑intensive, and often exceed tight IoT device budgets; ANN caches and hashed counters trade generality for approximation error and can become costly at high cardinality; existing CAM hardware designs face scaling, collision management, and fault‑tolerance challenges. None jointly define a biologically motivated reflex block integrated with HTM plus a hardware CAM design, nor provide a calibrated arbitration protocol, worst‑case collision sensitivity for nonuniform keys, or reproducible IoT benchmarks for this hybrid.</w:t>
      </w:r>
    </w:p>
    <w:p>
      <w:r>
        <w:t xml:space="preserve"> </w:t>
      </w:r>
    </w:p>
    <w:p>
      <w:pPr>
        <w:pStyle w:val="Heading2"/>
      </w:pPr>
      <w:r>
        <w:t>Abstract</w:t>
      </w:r>
    </w:p>
    <w:p>
      <w:r>
        <w:t>IoT streams contain many repetitive, first‑order temporal relationships (A → B) that can be exploited to accelerate online unsupervised prediction. We propose augmenting Hierarchical Temporal Memory (HTM) with a spinal‑cord‑inspired Reflex Memory (RM) block: a compact associative store that learns frequent single‑step transitions with fast hardware lookup implemented as a banked Content Addressable Memory (CAM). RM handles low‑latency, high‑frequency first‑order predictions and defers complex, multiorder inference to HTM via a clear arbitration interface. Main contributions are (1) the RM algorithm with calibrated counters and decay for stable arbitration, (2) a banked CAM microarchitecture and sizing rules (KEY_WIDTH, bank capacity) for IoT scales, and (3) an experimental protocol including synthetic and real IoT traces to measure latency, accuracy, stability, and robustness to drift. Expected outcome: substantial per‑lookup latency and energy reductions for repetitive patterns while preserving HTM multiorder performance, with reproducible sizing and fault models that guide FPGA/ASIC implementation decisions.</w:t>
      </w:r>
    </w:p>
    <w:p>
      <w:r>
        <w:t xml:space="preserve"> </w:t>
      </w:r>
    </w:p>
    <w:p>
      <w:pPr>
        <w:pStyle w:val="Heading2"/>
      </w:pPr>
      <w:r>
        <w:t>Methodology</w:t>
      </w:r>
    </w:p>
    <w:p>
      <w:r>
        <w:t>1) Definitions (simple terms): SDR = sparse binary vector where information is encoded in a few active bits; CAM = hardware associative lookup that finds stored keys by content, not by address; HTM = a cortical‑inspired model that learns temporal contexts across orders. 2) RM design: maintain per (key,value) entry a saturating integer counter c, an LRU timestamp, and a CRC tag; update rule: on observing pair (x_t,x_{t+1}) increment provisional_count for key k=hash(x_t); when provisional_count ≥ τ_store create or strengthen an entry for value x_{t+1} with c ← (1−λ)·c + α; on misprediction apply decrement γ. Counters are clipped to [0,C_max]. 3) CAM microarchitecture: bank the CAM into S‑entry banks, use a Bloom prefilter per bank to avoid probing empty banks, store 64‑bit hashed keys (KEY_WIDTH baseline 64) with multi‑value slots per bucket (M=4–8). Eviction per bank is MIN_CNT_LRU: evict minimal counter, tie by LRU. 4) Arbitration: query(x_t) → RM returns (v_pred, conf, entry_id, valid). If valid and conf ≥ θ_conf and not htminhibit, reflex path is used, else HTM path used. Conf is monotonic function of counter c and score overlap. 5) Stability &amp; calibration: model steady state c* = (α(1−ε) − γ ε)/λ where ε is local misprediction rate; use parameter sweeps and a Bayesian optimizer to select λ, α, γ, τ_store and θ_conf that meet target false‑inhibition and recovery time. 6) Hardware sizing: derive KEY_WIDTH from Q and p_target using B ≥ Q/p_target; choose bank_count = ceil(E/S) and set S so candidate set ≤ K_max. 7) Deliverables: implement RM software reference, RTL skeleton for banked CAM and prefilter, FPGA prototype, and automated calibration scripts that output confidence intervals for selected hyperparameters.</w:t>
      </w:r>
    </w:p>
    <w:p>
      <w:r>
        <w:t xml:space="preserve"> </w:t>
      </w:r>
    </w:p>
    <w:p>
      <w:pPr>
        <w:pStyle w:val="Heading2"/>
      </w:pPr>
      <w:r>
        <w:t>Experiments</w:t>
      </w:r>
    </w:p>
    <w:p>
      <w:r>
        <w:t>Datasets: (1) Synthetic generators: repetitive first‑order sequences, controlled higher‑order (orders 3–5), abrupt and gradual drift injections, and adversarial flash crowds; (2) Real IoT traces: Intel Lab wireless sensor dataset, building automation logs, smart‑grid telemetry. Baselines: HTM‑only (reference HTM sequence memory), RM‑only, AHTM (HTM+RM), compact quantized LSTM sized to match RM memory, AR‑hashed n‑gram counter, ANN cache (FAISS/LSH) on compressed SDRs. Metrics: per‑step latency (ns), per‑lookup energy (μJ or pJ), overall prediction accuracy, RM hit rate, RM precision/recall, HTM fallback rate, arbitration switching rate S(t) (fraction of steps where arbitration toggles reflex↔HTM per sliding window), time‑to‑recover T_rec after drift, collision rate and expected occupied buckets, and resource usage (BRAM/LUT/DSP on FPGA). Setup: fixed seeds, ≥30 independent runs per config, stream lengths 100k–1M steps, KEY_WIDTH default 64, E ∈ {16k,64k}, S=1024, counters 8–12 bits, τ_store=3, λ ∈ [1e−4,1e−2]. Statistical analysis: bootstrap 95% CI and paired Wilcoxon tests with Benjamini–Hochberg correction. Ablations: (A) disable RM decay (λ=0) vs nominal, (B) adaptive θ_conf (EWMA on RM precision) vs fixed θ_conf, (C) vary KEY_WIDTH {40,48,64} to measure collision sensitivity, (D) multiorder retention test: measure order‑3 to order‑5 recall after prolonged RM intervention. Hardware validation: FPGA emulation on ZCU104/ZCU106 to measure latency, energy, and failure under injected bit‑flip faults and burst errors. Success criteria: latency reduction ≥50% on first‑order patterns and multiorder accuracy within 2% of HTM‑only baseline.</w:t>
      </w:r>
    </w:p>
    <w:p>
      <w:r>
        <w:t xml:space="preserve"> </w:t>
      </w:r>
    </w:p>
    <w:p>
      <w:pPr>
        <w:pStyle w:val="Heading2"/>
      </w:pPr>
      <w:r>
        <w:t>Risk Factors And Limitations</w:t>
      </w:r>
    </w:p>
    <w:p>
      <w:r>
        <w:t>Nonuniform or heavy‑tailed key distributions increase collision probability beyond uniform hashing formulas and can cause degraded RM precision; correlated SDRs and locality‑preserving hashes change false‑match behavior. False inhibition: RM may suppress HTM when RM is wrong, causing persistent errors and oscillation between RM and HTM. Stability risks: poor choices of λ, α, γ or θ_conf can produce limit cycles or long recovery times. Hardware risks: CAM bank scaling, BRAM capacity limits, ECC/CRC overhead, and scrubbing schedules may increase area, latency, and power beyond budget. Eviction/overflow corner cases: flash crowds or adversarial sequences may cause high churn and eviction thrashing. Fault modes: single‑bit flips, stuck‑at faults, counter saturation, and burst errors can corrupt RM entries or counters. Generalization limits: RM accelerates first‑order patterns but may not help rare or high‑order dependencies and could bias HTM learning if arbitration suppresses HTM updates. Evaluation biases: real traces may be nonrepresentative, and synthetic generators may not capture real-world heterogeneity. Reproducibility constraints: FPGA timing/energy depends on board and synthesis; ASIC targets require detailed models. Scalability: very large Q or E increases KEY_WIDTH and bank counts with corresponding hardware cost; worst‑case collision and latency bounds under adversarial inputs remain hard to guarantee.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