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locomamba_mamba_fusion</w:t>
      </w:r>
    </w:p>
    <w:p>
      <w:r>
        <w:t xml:space="preserve"> </w:t>
      </w:r>
    </w:p>
    <w:p>
      <w:pPr>
        <w:pStyle w:val="Heading2"/>
      </w:pPr>
      <w:r>
        <w:t>Title</w:t>
      </w:r>
    </w:p>
    <w:p>
      <w:r>
        <w:t>End-to-end vision-driven quadrupedal locomotion using selective state-space MAMBA fusion with reinforcement learning</w:t>
      </w:r>
    </w:p>
    <w:p>
      <w:r>
        <w:t xml:space="preserve"> </w:t>
      </w:r>
    </w:p>
    <w:p>
      <w:pPr>
        <w:pStyle w:val="Heading2"/>
      </w:pPr>
      <w:r>
        <w:t>Short Hypothesis</w:t>
      </w:r>
    </w:p>
    <w:p>
      <w:r>
        <w:t>Fusing proprioception and patchified depth through a selective state-space MAMBA backbone and training end-to-end with PPO (including a compute-aware gating loss) yields faster learning (fewer environment steps to reach 80% task success) and greater robustness to visual and physics perturbations than (a) full-scan MAMBA, (b) transformer-based fusion, or (c) non-vision baselines.</w:t>
      </w:r>
    </w:p>
    <w:p>
      <w:r>
        <w:t xml:space="preserve"> </w:t>
      </w:r>
    </w:p>
    <w:p>
      <w:pPr>
        <w:pStyle w:val="Heading2"/>
      </w:pPr>
      <w:r>
        <w:t>Related Work</w:t>
      </w:r>
    </w:p>
    <w:p>
      <w:r>
        <w:t>Prior work builds locomotion controllers using either state-only policies, hand-designed perception pipelines, or learned vision encoders coupled to recurrent or attention models. State-space models (SSMs) and HiPPO-style kernels have been used for long-horizon sequence modeling because they store history compactly, but existing SSMs are rarely applied as a cross-modal fusion backbone in robotics. Transformer-style fusion handles many tokens but scales quadratically with token count and is sensitive to image appearance; recurrent/LSTM fusion can suffer from limited memory and slow long-range credit assignment. Previous selective-attention or token-pruning methods trade compute for some performance but lack integrated training signals that balance task loss and compute budget in reinforcement learning. Domain randomization and PPO have been combined with vision for sim-to-real transfer, but prior systems often separate perception and control, limiting end-to-end adaptation.</w:t>
      </w:r>
    </w:p>
    <w:p>
      <w:r>
        <w:t xml:space="preserve"> </w:t>
      </w:r>
    </w:p>
    <w:p>
      <w:pPr>
        <w:pStyle w:val="Heading2"/>
      </w:pPr>
      <w:r>
        <w:t>Abstract</w:t>
      </w:r>
    </w:p>
    <w:p>
      <w:r>
        <w:t>We present Locomamba: an end-to-end framework for vision-driven quadrupedal locomotion that fuses proprioceptive state and depth images using a selective state-space model called MAMBA. MAMBA scans a subset of visual tokens selectively while always including proprioception and a pooled global visual token, yielding near-linear compute scaling with token count and stable long-horizon memory. Visual patches are produced by a lightweight CNN and proprioception by a compact MLP; both project to shared tokens fed into stacked MAMBA layers. A differentiable gating objective jointly trains task performance and a compute penalty, and an auxiliary short-horizon proprio prediction loss encourages useful look-ahead. Training uses PPO with terrain and appearance randomization and an obstacle-density curriculum. We expect Locomamba to reduce training steps to target performance, improve robustness under visual/physics shifts, and meet embedded inference latency targets by enabling selective computation and structured compression.</w:t>
      </w:r>
    </w:p>
    <w:p>
      <w:r>
        <w:t xml:space="preserve"> </w:t>
      </w:r>
    </w:p>
    <w:p>
      <w:pPr>
        <w:pStyle w:val="Heading2"/>
      </w:pPr>
      <w:r>
        <w:t>Methodology</w:t>
      </w:r>
    </w:p>
    <w:p>
      <w:r>
        <w:t>1) Inputs and encoders: build a proprioceptive MLP that maps joint angles, velocities, IMU, contact sensors into a 128-dim token. Patchify depth frames into 16×16 patches; pass each patch through a small CNN that outputs 128-dim tokens. Add a learned 2D positional embedding per patch and a learned temporal scalar per control step. 2) MAMBA fusion backbone: stack 2–8 MAMBA layers (state-space model blocks). MAMBA is an SSM that processes token sequences with near-linear time by scanning selected tokens; explain SSM simply: it keeps a compact internal state that summarizes history instead of reprocessing all past tokens. Use residual connections out = x + α·SSM_scan(x_scanned) with α init=0.1 and LayerNorm. 3) Selective scanning and gating: implement a gating scorer that computes a scalar g_t = sigmoid(scorer(token)) for each visual token. Always include proprio and a pooled global visual token. Train gating with composite loss L = L_task (PPO) + λ_comp·E[scan_cost] + λ_aux·L_pred, where L_pred is a 3-step proprio prediction loss (L2 + BCE for contact). Begin with λ_comp=0, optionally imitate oracle full-scan gate scores for 1M steps, then anneal λ_comp to 0.01–0.02 over 5–10M steps. 4) PPO training: feed fused features to policy/value MLP heads; use advantage normalization and per-update value clipping. 5) Regularization and numerics: discretize SSM via bilinear (Tustin) with HiPPO-style init, impose diagonal+low-rank parameterization, spectral constraint on recurrence (eigenvalues left-half-plane), L2 weight decay (1e-4), spectral normalization on dense maps, gradient clipping (max-norm 0.5). 6) Diagnostics and checkpoints: log kernel impulse energy, max real-part eigenvalue, kernel norms, and KL between full-scan and gated fused features. 7) Domain randomization and curriculum: apply depth noise, dropout, scale, friction and mass randomization with fixed seeds and increase difficulty by curriculum triggers tied to rolling success.</w:t>
      </w:r>
    </w:p>
    <w:p>
      <w:r>
        <w:t xml:space="preserve"> </w:t>
      </w:r>
    </w:p>
    <w:p>
      <w:pPr>
        <w:pStyle w:val="Heading2"/>
      </w:pPr>
      <w:r>
        <w:t>Experiments</w:t>
      </w:r>
    </w:p>
    <w:p>
      <w:r>
        <w:t>Datasets and environments: use a simulated quadruped in Isaac Gym or equivalent with procedurally generated terrains: flat, inclines, rubble, stairs, and obstacle fields. Create held-out evaluation sets: visual shifts (depth σ={0.01,0.03,0.05} m, dropout 5–20%, 64×64 downsample), novel terrains (stairs, steep slopes up to 25°, granular substrate), and physics perturbations (mass ±10%, friction 0.5–1.2, latency up to 80 ms). Baselines: (A) full-scan MAMBA (no gating), (B) transformer fusion (ViT-style encoder + attention), (C) LSTM fusion, (D) proprio-only policy, (E) depth-only policy. Primary metrics: env steps to reach 80% success on obstacle curriculum, final success rate, fall rate, energy per meter, inference latency (ms), KL(full_fused||gated_fused), and embedding cosine similarity under resolution shifts. Experimental setup: three resource tiers — low: 128 envs × 8M steps, mid: 512 envs × 20M steps, full: 1024 envs × 35–50M steps. Ablation matrix (per condition run with seeds): 1) selective-scan vs full-scan (swap gating on/off) — 10 seeds for primary comparison; 2) SSM discretization: Tustin vs GSS vs diagonal+low-rank — 5 seeds each; 3) MAMBA depth: 2/4/8 layers — 5 seeds each; 4) patch size: 8×8, 16×16, 32×32 — 5 seeds each; 5) auxiliary predictive loss: on/off — 5 seeds. Statistical plan: report mean ±95% CI per metric; run two-sided t-tests when normal, Mann-Whitney U otherwise; correct for multiple comparisons using Holm-Bonferroni; primary endpoints: env steps-to-80% and final success rate. Seed policy: exploratory tests 5 seeds, primary comparisons 10 seeds, final validation 20 seeds. Acceptance thresholds: KL(feature_full||feature_gated)&lt;0.05 and performance drop &lt;5% at target sparsity for gated runs.</w:t>
      </w:r>
    </w:p>
    <w:p>
      <w:r>
        <w:t xml:space="preserve"> </w:t>
      </w:r>
    </w:p>
    <w:p>
      <w:pPr>
        <w:pStyle w:val="Heading2"/>
      </w:pPr>
      <w:r>
        <w:t>Risk Factors And Limitations</w:t>
      </w:r>
    </w:p>
    <w:p>
      <w:r>
        <w:t>1) SSM instability: learned recurrence may drift (eigenvalue drift) causing training collapse. 2) Gating collapse: the gate may learn trivial policies (always-all or always-none), removing selective benefits. 3) Sim-to-real gap: domain randomization may be insufficient; policies may overfit simulator artifacts. 4) Compute limits: full experiments need large GPU hours; low-resource runs may give inconclusive results. 5) Latency and timing: asynchronous sensors and stale visual tokens can induce unsafe actions if freshness gating fails. 6) Compression sensitivity: quantization or pruning may perturb SSM kernels and break long-range memory. 7) Limited generalization: learned policies may not transfer to very different robots or extreme terrains. 8) Evaluation bias: selected held-out sets may not cover real-world failure modes, producing optimistic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