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adapkooppc_mixed_traffic</w:t>
      </w:r>
    </w:p>
    <w:p>
      <w:r>
        <w:t xml:space="preserve"> </w:t>
      </w:r>
    </w:p>
    <w:p>
      <w:pPr>
        <w:pStyle w:val="Heading2"/>
      </w:pPr>
      <w:r>
        <w:t>Title</w:t>
      </w:r>
    </w:p>
    <w:p>
      <w:r>
        <w:t>Adaptive deep Koopman predictive control for mitigating traffic oscillations in mixed traffic flow</w:t>
      </w:r>
    </w:p>
    <w:p>
      <w:r>
        <w:t xml:space="preserve"> </w:t>
      </w:r>
    </w:p>
    <w:p>
      <w:pPr>
        <w:pStyle w:val="Heading2"/>
      </w:pPr>
      <w:r>
        <w:t>Short Hypothesis</w:t>
      </w:r>
    </w:p>
    <w:p>
      <w:r>
        <w:t>Embedding an adaptive deep Koopman linear representation of heterogeneous human-driven vehicle dynamics into a latent‑space model predictive controller for connected automated vehicles causally reduces network speed variance and attenuates traffic oscillations relative to baseline controllers under mixed traffic conditions.</w:t>
      </w:r>
    </w:p>
    <w:p>
      <w:r>
        <w:t xml:space="preserve"> </w:t>
      </w:r>
    </w:p>
    <w:p>
      <w:pPr>
        <w:pStyle w:val="Heading2"/>
      </w:pPr>
      <w:r>
        <w:t>Related Work</w:t>
      </w:r>
    </w:p>
    <w:p>
      <w:r>
        <w:t>Prior work has pursued model‑based predictive control for vehicle platoons, data‑driven car‑following models for human drivers, and Koopman operator methods that lift nonlinear dynamics into a linear latent space. Deep‑learning variants of Koopman methods use neural encoders to learn latent coordinates and linear predictors; separately, model predictive control (MPC) and tube‑MPC have been used to enforce constraints and robustness. Online adaptation methods (e.g., recursive least squares or small‑step SGD) have been applied to vehicle controllers, and Lyapunov methods have been used to certify stability. Limitations remain: many Koopman approaches lack real‑time, scalable MPC integration; decoder nonlinearity introduces conservativeness that is rarely quantified; online adaptation schemes often lack formal bounds tied to closed‑loop certificates; reproducible pipelines, hardware‑in‑the‑loop (HIL) validation, and explicit disturbance models for delays and heterogeneous human drivers are sparse; and prior work rarely provides concrete adaptation clamps, tube mappings, or reproducible real‑time performance targets.</w:t>
      </w:r>
    </w:p>
    <w:p>
      <w:r>
        <w:t xml:space="preserve"> </w:t>
      </w:r>
    </w:p>
    <w:p>
      <w:pPr>
        <w:pStyle w:val="Heading2"/>
      </w:pPr>
      <w:r>
        <w:t>Abstract</w:t>
      </w:r>
    </w:p>
    <w:p>
      <w:r>
        <w:t>Traffic oscillations (stop‑and‑go waves) in mixed flows with human‑driven and connected automated vehicles degrade safety and efficiency. We propose an adaptive deep Koopman predictive control framework that (1) learns a linear latent representation of heterogeneous human driver dynamics from naturalistic data with a neural encoder, (2) embeds the learned linear latent dynamics into a latent‑space model predictive controller for connected automated vehicles, and (3) applies constrained online adaptation with Lyapunov‑based bounds to keep adaptation within certified limits. The main contribution is an end‑to‑end, reproducible pipeline that quantifies decoder nonlinearity, computes adaptation bounds (β) from discrete Lyapunov certificates, maps latent tubes to tightened physical constraints, and uses low‑rank RLS updates with rollback triggers for real‑time operation. Expected outcomes are measurable reductions in network speed variance and oscillation amplitude at realistic CAV penetration rates, a set of safety certificates linking online updates to stability, and reproducible artifacts for hardware profiling and HIL testing.</w:t>
      </w:r>
    </w:p>
    <w:p>
      <w:r>
        <w:t xml:space="preserve"> </w:t>
      </w:r>
    </w:p>
    <w:p>
      <w:pPr>
        <w:pStyle w:val="Heading2"/>
      </w:pPr>
      <w:r>
        <w:t>Methodology</w:t>
      </w:r>
    </w:p>
    <w:p>
      <w:r>
        <w:t>1) Data preparation: curate a multi‑site subset (urban, suburban, highway) of HDV and CAV trajectories, synchronize sensors to a common clock, normalize units, and split into train/val/test with a held‑out city. 'Synchronize' means align timestamps so measurements match time steps. 2) AdapKoopNet training: train an encoder (temporal convolutional network) that maps short history windows of observables (gap, relative speed, ego speed, leader accel proxy) to a latent vector z. Train a linear latent propagator K and affine term B so z_{t+1}=K z_t + B u_t + w_t, and a decoder that maps z back to observables. Use losses: reconstruction, multi‑step prediction (H steps), consistency, spectral regularizer that pushes the spectral radius toward ρ_target (stability), and mild sparsity. Explain: 'spectral radius' is the largest absolute eigenvalue; keeping it &lt;1 helps stability. 3) Lyapunov certificate and β: for nominal closed‑loop A_cl (K plus tube feedback), solve discrete Lyapunov A_cl' P A_cl − P = −Q (choose Q=I) to get P. Compute conservative β from quadratic bound ||P|| β^2 + 2||P|| ||A_cl|| β ≤ λ_min(Q). β bounds allowed ||ΔK||. 4) Decoder Lipschitz and tube mapping: estimate decoder Lipschitz L_dec via Jacobian spectral‑norm (power iteration) and finite‑difference probing over validation latent cloud. Use latent disturbance bound w_max from validation residuals. Compute latent tube radius r (truncated series or invariant ellipsoid). Tighten physical constraints via C z_nom − L_dec·r ≥ bound, where C is decoder linearization. Explain: 'Lipschitz' is a bound on how much decoder outputs change per unit change in z. 5) MPC integration: implement latent‑space MPC that enforces tightened constraints, actuator limits, and minimizes deviation and control effort. Use QP solver (OSQP/acados) with precomputation and warm start. 6) Online adaptation: update only low‑rank driver residual components using RLS with forgetting λ≈0.99 and ridge regularizer; clamp per‑update ||ΔK||_2 ≤ β_clip (clip policy derived from β, e.g., β/4). Log ΔK, residuals, and triggers. 7) Rollback and triggers: define triggers (ΔK &gt; 0.8β, residual RMS &gt;3× baseline for 5 steps, MPC WCET missed twice) to freeze adaptation and revert to last safe model. 8) Real‑time profiling: measure encoder inference, latent propagation, and QP solve times on target hardware (e.g., Jetson Xavier NX). 9) Reproducibility: provide Docker container, exact seeds, ONNX encoder exports, and unit tests for β, L_dec, tube mapping and rollback logic.</w:t>
      </w:r>
    </w:p>
    <w:p>
      <w:r>
        <w:t xml:space="preserve"> </w:t>
      </w:r>
    </w:p>
    <w:p>
      <w:pPr>
        <w:pStyle w:val="Heading2"/>
      </w:pPr>
      <w:r>
        <w:t>Experiments</w:t>
      </w:r>
    </w:p>
    <w:p>
      <w:r>
        <w:t>Datasets: (A) Curated naturalistic HDV‑CAV subset with urban/suburban/highway splits; (B) synthetic augmented trajectories with driver archetypes (calm, nominal, aggressive, distracted) and stress segments (extreme braking, cut‑ins, sensor dropouts). Provide train/val/test with a held‑out city. Simulation &amp; HIL: Flow+SUMO (TraCI) for large sweeps; a vehicle dynamics micro‑sim or CARLA for stress scenarios; Jetson Xavier NX HIL for real‑time profiling. Baselines: (1) No intervention (naturalistic), (2) ACC/PI (time headway=1.2s, Kp=0.6, Ki=0.08, accel ±2 m/s^2), (3) linear MPC (state=[gap; speed error], Q=diag(10,1), R=1e‑2, N=20, dt=0.1s), (4) deep Koopman without online adaptation. Metrics: network speed variance (% change), oscillation growth rate (dominant PSD mode amplitude), string‑stability ℓ2 gain (leader→follower), min TTC, frequency/duration of stop‑and‑go, prediction RMSE (multi‑horizon H=10), residual RMS, MPC solve time percentiles (50/95/99), and failure counts (constraint violations, rollbacks). Experimental setup: for each scenario run 30 random seeds; CAV penetration {5%,10%,20%}; platoon sizes {10,25,50}; run stress tests (leader braking −6 m/s^2, cut‑ins, sensor dropout 0.5–2s, comm jitter 100–500 ms). Ablations: latent dim ∈{6,8,10}; with vs without L_stab spectral regularizer; adaptation off vs RLS vs SGD; decoder Lipschitz tightening vs linearized mapping. Statistical tests: report mean±95% CI from seeds; compute paired comparisons to baselines with mixed‑effects model (vehicles nested in platoons). Reproducibility: release seeds, hyperparameters (latent dim=8, TCN 3 layers channels 64/128/128, decoder MLP 128‑64‑obs_dim, Adam lr=1e‑3, batch=128, epochs=50), ONNX encoder, and Dockerized MPC runtime. Pass/fail criteria: reduction in network speed variance ≥10% vs linear MPC and no increase in constraint violations or rollbacks.</w:t>
      </w:r>
    </w:p>
    <w:p>
      <w:r>
        <w:t xml:space="preserve"> </w:t>
      </w:r>
    </w:p>
    <w:p>
      <w:pPr>
        <w:pStyle w:val="Heading2"/>
      </w:pPr>
      <w:r>
        <w:t>Risk Factors And Limitations</w:t>
      </w:r>
    </w:p>
    <w:p>
      <w:r>
        <w:t>1) Model mismatch: learned latent linear model may not capture extreme HDV behaviors, producing residuals outside w_max and invalidating β bounds. 2) Conservativeness: Lipschitz‑based tightenings (L_dec·r) can be overly conservative, reducing controller effectiveness. 3) Online adaptation hazards: RLS/SGD updates, if improperly tuned, can destabilize closed loop before rollback triggers activate; latency in detection creates a worst‑case exposure time. 4) Computational limits: QP solve times may exceed WCET on resource‑constrained hardware, forcing degraded control (shorter horizon or simpler controller). 5) Data bias and generalization: training data may underrepresent regions (rare aggressive drivers, weather, road types), limiting transfer to held‑out cities. 6) Communication and sensing failures: packet loss, delays, or sensor dropouts can inflate effective disturbance and invalidate tube assumptions. 7) Privacy and sharing: differential privacy constraints may reduce data fidelity and model accuracy. 8) Evaluation scope: simulation and HIL may not expose all real‑world corner cases; field deployment risks remain until rigorous staged validation is complete.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