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recurrence_quantile_inception_ssl_protection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change-quantile-based InceptionTime fusion with semi-supervised learning for single-ended protection of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recurrence matrices and mean change-in-quantiles as inputs to an InceptionTime-based fusion model with conservative semi-supervised pseudo-labeling will increase fault detection recall and precision to ≥99% and phase-identification accuracy to ≥99% while yielding median fault-location MAE ≤1 km and P95 end-to-end latency &lt;50 ms on targeted edge hardware.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use time-series deep learning (e.g., InceptionTime) or recurrence-quantification analysis (RQA) separately for fault detection, and graph-based label propagation or self-training for label-scarce tasks. Prior methods show good classification on clean simulated data but have three key limitations: (1) few works fuse recurrence imagery with compact statistical features (change-in-quantiles and RQA) for simultaneous detection, location and phase-ID; (2) semi-supervised rules are often permissive, risking label noise and class imbalance amplification for rare faults; (3) latency and deployment constraints for edge hardware (Jetson/NUC/FPGA) are underreported, and conventional relay comparisons and safety gating for converter-interfaced PV scenarios are sparse. These gaps leave unresolved issues in single-ended protection for PV-connected transmission lines under realistic HIL/field conditions.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single-ended protection of transmission-line segments connecting the grid to photovoltaic (PV) plants. The method computes per-phase recurrence matrices and sliding-window change-in-quantile features from high-rate current waveforms, selects compact features with ReliefF, and inputs both image and vector modalities to an InceptionTime-based fusion network that jointly detects faults, identifies faulty phases and estimates location. To reduce labeled-data demands we apply a conservative semi-supervised pipeline combining graph label spreading/propagation and Mean-Teacher self-training with strict pseudo-label acceptance rules. The main contribution is an operationally-minded protection scheme that integrates recurrence imagery, quantile changes, robust feature selection and safe semi-supervised learning to meet strict detection, phase-ID, location and latency targets on edge hardware. Expected outcomes are high detection and phase-ID accuracy, sub-kilometer median location error, calibrated probabilities for decision gating, and reproducible evaluation on WSCC-9 and IEEE-39 datasets under PSCAD/HIL scenarios.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Data generation: produce synchronized three-phase current traces at 10 kHz for WSCC-9 and IEEE-39 topologies with labeled faults (SLG, LL, LLG/high-R, 3P) across 50 locations, resistance bins [0–1,1–10,10–100] Ω, 24 inception angles and multiple PV controller settings. Include unlabeled pools ≥100k per topology. Preprocessing: (1) choose embedding delay via average mutual information and embedding dimension via False-Nearest-Neighbors; (2) compute per-phase and cross-recurrence matrices in sliding windows (default 50–100 ms, 50% overlap); (3) compute change-in-quantiles per phase using quantiles {0.05,0.25,0.5,0.75,0.95} versus short pre-event baseline; (4) extract RQA measures (REC, DET, LAM, mean diagonal length, TT, ENTR) and simple physics proxies (apparent impedance, dI/dt peaks). Feature selection: run ReliefF (k=10) with bootstrapping (B=100) and remove redundancy by correlation clustering; select compact set at validation F1 elbow. Model architecture: a lightweight 2D CNN encoder ingests recurrence images (channels = phases or stacked cross-recurrence); a 1D InceptionTime branch ingests selected quantile+RQA sequences; concatenate embeddings and pass through shared Inception-style residual blocks; output three heads — detection (binary), phase-ID (multi-label), location (regression or distance-bin classification). Training: supervised pretraining with focal loss for class imbalance, AdamW optimizer, cosine decay and label smoothing ε=0.05. Semi-supervised pipeline: build Faiss k-NN graph in penultimate embedding (k=10–20), run LabelSpreading/LabelPropagation (alpha≈0.8) and an EMA Mean-Teacher; accept pseudo-labels only with ensemble+graph+teacher agreement, soft confidence ≥0.95 (round 1), low MC-Dropout variance and per-class caps (≤5–10% labeled pool per round; total ≤30% until pseudo-label precision ≥98%). Deployment: prune and quantize model (INT8), export TensorRT/Fast runtime, and measure end-to-end latency (feature extraction + inference + decision) on Jetson Xavier/Orin, Intel NUC and FPGA prototypes. Explainability: produce Grad-CAM for images and SHAP for vector features. Terms explained simply: recurrence matrix = a 2D image showing when a signal visits similar states over time; change-in-quantiles = how summary percentiles of current change relative to a baseline; RQA = numerical measures that describe patterns in the recurrence image (e.g., how long similar patterns repeat).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WSCC-9 and IEEE-39 PSCAD-generated corpora with per-topology labeled sets of 20,000 events (SLG 6k, LL 6k, 3P 6k, LLG/high-R 2k) and unlabeled pools ≥100k; sampling 10 kHz (5 kHz min). Splits: standard train/val/test by scenario and time; additional controlled label-scarcity splits at 1%, 5%, 10% labeled (seeded, 5 repeats). Baselines: (A) conventional distance/impedance relay logic; (B) InceptionTime on raw multivariate waveforms; (C) recurrence-image-only CNN; (D) RQA+quantiles with 1D models; (E) supervised fusion (no SSL). Metrics: detection precision, recall, F1, PR-AUC, false-trip rate per 10k events; phase-ID per-phase accuracy and multi-label F1; location median MAE and 95th percentile MAE (report per-line-length); calibration ECE after temperature scaling; end-to-end latency P50/P95 (ms). Experimental setup: train models with fixed seeds and Dockerized environment; repeat each configuration for 5 seeds; compute 95% bootstrap CIs (1000 resamples). Ablations: (1) fusion vs recurrence-only vs RQA-only; (2) supervised-only vs each SSL method (LabelSpreading, LabelPropagation, conservative Self-Training + Mean-Teacher) and combined graph+teacher; (3) different feature sets: full vs ReliefF-pruned; (4) recurrence resolutions (64×64 vs 128×128) and window lengths (20/50/100 ms). Deployment tests: profile P95 latency and memory on Jetson Xavier NX/Orin, Intel NUC, and Xilinx Alveo with INT8 quantization and pruning; measure detection/phase/location metrics on replayed HIL traces (OPAL-RT/RTDS). Statistical analysis: paired Wilcoxon signed-rank for metric comparisons, McNemar for paired binary outcomes, and report effect sizes. Acceptance checks: confirm detection recall and precision ≥99%, phase-ID ≥99%, median location MAE ≤1 km and P95 latency &lt;50 ms in target hardware benchmark to claim success.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Sim-to-real covariate shift: PSCAD traces may not represent utility noise, sensor aging, or deployment-specific dynamics. Inverter diversity: unmodeled control modes (grid-forming, grid-following, PLL behaviors, anti-islanding) can alter features and reduce generalization. Rare-event scarcity: labeled samples for high-resistance or out-of-zone faults may be insufficient for reliable learning. CT/VT saturation and sensor nonlinearity can corrupt recurrence and quantile features. Pseudo-label noise: conservative caps reduce but do not eliminate incorrect pseudo-label propagation, risking label drift. Latency and hardware limits: edge devices may not meet P95 &lt;50 ms for full-resolution inputs without aggressive model compression, which can reduce accuracy. Certification and safety: regulatory acceptance for autonomous ML trips is unresolved and may require extensive HIL and field testing. Security risks: data‑integrity attacks (spoofing, replay) can cause wrong trips if not detected. Scalability: graph-based SSL and Faiss k-NN can be costly with 100k+ unlabeled samples unless approximations are used. Generalization limits: performance measured on WSCC-9/IEEE-39 may not transfer to other network topologies or very different PV fleets.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