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d_mab2ab_ts_ev_charging</w:t>
      </w:r>
    </w:p>
    <w:p>
      <w:r>
        <w:t xml:space="preserve"> </w:t>
      </w:r>
    </w:p>
    <w:p>
      <w:pPr>
        <w:pStyle w:val="Heading2"/>
      </w:pPr>
      <w:r>
        <w:t>Title</w:t>
      </w:r>
    </w:p>
    <w:p>
      <w:r>
        <w:t>Decentralized two-armed Thompson sampling multi-agent bandits for coordinating electric vehicle charging</w:t>
      </w:r>
    </w:p>
    <w:p>
      <w:r>
        <w:t xml:space="preserve"> </w:t>
      </w:r>
    </w:p>
    <w:p>
      <w:pPr>
        <w:pStyle w:val="Heading2"/>
      </w:pPr>
      <w:r>
        <w:t>Short Hypothesis</w:t>
      </w:r>
    </w:p>
    <w:p>
      <w:r>
        <w:t>A fully decentralized per‑agent two‑armed Thompson sampling algorithm that uses a Beta population posterior estimated from noisy aggregated counts reduces peak transformer overload probability and per‑agent cumulative regret compared to independent Thompson sampling when cohort size N ≥ 200 and per‑round Gaussian DP noise on the published average satisfies σ_p ≤ 0.05.</w:t>
      </w:r>
    </w:p>
    <w:p>
      <w:r>
        <w:t xml:space="preserve"> </w:t>
      </w:r>
    </w:p>
    <w:p>
      <w:pPr>
        <w:pStyle w:val="Heading2"/>
      </w:pPr>
      <w:r>
        <w:t>Related Work</w:t>
      </w:r>
    </w:p>
    <w:p>
      <w:r>
        <w:t>Existing approaches to smart EV charging include centralized optimization (requires global data and coordination), centralized multi-armed bandit (MAB) controllers using Thompson sampling (TS) that need a trusted aggregator, and independent per-agent MABs that ignore coupling through the grid. Privacy-preserving methods use local differential privacy (LDP) or secure multi-party computation (SMPC) but often sacrifice utility or add heavy communication. Mean-field and decentralized control models approximate population effects but break down for small cohorts or highly synchronized arrivals. Limitations across these works are (i) reliance on central authority or raw data sharing, (ii) poor scaling or high latency for SMPC at large N, (iii) insufficient treatment of noisy/DP aggregates on learning performance, and (iv) lack of explicit handling of forced charging (deadlines) which biases posterior estimates.</w:t>
      </w:r>
    </w:p>
    <w:p>
      <w:r>
        <w:t xml:space="preserve"> </w:t>
      </w:r>
    </w:p>
    <w:p>
      <w:pPr>
        <w:pStyle w:val="Heading2"/>
      </w:pPr>
      <w:r>
        <w:t>Abstract</w:t>
      </w:r>
    </w:p>
    <w:p>
      <w:r>
        <w:t>We study decentralized coordination of electric vehicle (EV) charging via a multi-agent, model-free two‑armed bandit approach where each agent models the instantaneous choice as a two‑armed bandit: charge or not charge. Each agent runs Thompson sampling locally for the two arms and maintains Beta posteriors for its own rewards and for the population charging probability. The population posterior is updated from a single published scalar per epoch (noisy secure aggregate or DP‑protected average). Our method preserves privacy (no raw local states shared), scales linearly in the number of arms, and explicitly accounts for uncertainty introduced by other agents via the population posterior. Contributions: (1) a fully decentralized algorithmic specification (d-mab2ab-ts) with per‑agent pseudocode and posterior-update rules for noisy aggregates, (2) forced‑charge bookkeeping to avoid bias from deadline-driven actions, and (3) practical thresholds for approximate vs exact population updates and DP budgeting. We expect reduced overload events and lower regret than independent baselines while keeping computation and communication practical for deployment.</w:t>
      </w:r>
    </w:p>
    <w:p>
      <w:r>
        <w:t xml:space="preserve"> </w:t>
      </w:r>
    </w:p>
    <w:p>
      <w:pPr>
        <w:pStyle w:val="Heading2"/>
      </w:pPr>
      <w:r>
        <w:t>Methodology</w:t>
      </w:r>
    </w:p>
    <w:p>
      <w:r>
        <w:t>1) Agent state and priors: each EV agent stores its state of charge (SoC), deadline, and two Beta priors for arms (charge=1 and not‑charge=0). A separate Beta prior models the population charge probability p. A Beta distribution is a simple probability model for a binary event; it is parameterized by two counts (α,β). 2) Per‑round agent loop (simple steps): (a) observe own SoC/deadline and the published scalar s_t (either noisy count C_t or average p_t = C_t/N); (b) sample theta0 ~ Beta(α0,β0) and theta1 ~ Beta(α1,β1) for own arms; (c) sample p_hat ~ Beta(αp,βp) for population charge rate; (d) compute utilities U0 = theta0 and U1 = theta1 − f(p_hat), where f(·) is a penalty function of estimated load (example: piecewise linear in transformer loading); (e) choose action a = 1 if U1&gt;U0, else 0 (random tie‑break); (f) execute action and observe local reward r∈[0,1] and the published s_t for that round; (g) update chosen arm posterior: α_a ← α_a + r, β_a ← β_a + (1−r); (h) update population posterior: compute π(p|z_t) ∝ Beta(αp,βp)·Likelihood(z_t|p) where Likelihood marginalizes binomial counts and the DP/noise model (exact O(N) sum over counts or Gaussian/Laplace continuous approximation when N large); smooth population posterior with α_smooth if desired. 3) Population posterior details: if the aggregator releases z_t = C_t + η_t with known noise density g(·) (Gaussian/Laplace), compute exact posterior by summing P(z_t|C_t=c)·Binom(c;N,p) over c=0..N on a p grid; for large N use CLT/Gaussian approximation for efficiency. 4) Forced charging: when deadlines require mandatory charging, force action=1, flag the event, and update forced vs voluntary counters separately. For unbiased population updates, use inverse probability weighting (IPW) or exclude forced counts when such publishing is possible. 5) Privacy and DP: use secure aggregation for raw counts and apply a Gaussian DP mechanism to the published average p_t. The per‑round DP noise std on p_t is σ_p = sqrt(2 ln(1.25/δ)) /(ε·N). 6) Complexity: per agent computation is constant per epoch for two arms; exact population posterior update is O(N) if done locally but can be computed once by aggregator and published; continuous approximations are O(1).</w:t>
      </w:r>
    </w:p>
    <w:p>
      <w:r>
        <w:t xml:space="preserve"> </w:t>
      </w:r>
    </w:p>
    <w:p>
      <w:pPr>
        <w:pStyle w:val="Heading2"/>
      </w:pPr>
      <w:r>
        <w:t>Experiments</w:t>
      </w:r>
    </w:p>
    <w:p>
      <w:r>
        <w:t>Datasets and feeders: IEEE13, IEEE34, IEEE123 and a representative EU LV long‑line feeder; baseline load traces from ACN-Data or OpenEI; synthetic EV arrival/SoC generators with deterministic RNG seeds. Scenario parameters: cohort sizes N ∈ {50,100,200,500,1000,5000} per transformer, P_ch ∈ {3.7,7.2,11} kW, timestep 15 minutes, horizons 24h and 48h, Monte Carlo 100 seeds per scenario. Baselines: (A) centralized clairvoyant optimizer (knows future), (B) centralized Thompson sampling (aggregator TS), (C) independent per-agent TS (no population belief), (D) price-threshold heuristic, (E) sliding-window TS, (F) fairness-token variants. Metrics: per-agent cumulative regret, peak and average transformer load, overload probability P(L&gt;1), transformer thermal aging hours, nodal voltage violations, Jain fairness index, and communication latency. DP/Privacy grid: ε ∈ {0.01,0.05,0.1,0.2,0.5,1}, δ ∈ {1e-6,1e-5,1e-4}, and compute σ_p. Experiments to run: (1) Main comparison: d-mab2ab-ts vs baselines across N grid without DP noise; report metrics. (2) DP sensitivity ablation: for fixed N values run privacy grid to measure regret and overload as σ_p increases. (3) Posterior approximation ablation: compare exact O(N) posterior update vs Gaussian/Laplace approximations; record posterior RMSE, runtime, and when approximation error exceeds thresholds (e.g., 0.05). (4) Forced-charge bookkeeping ablation: compare results when forced counts are (i) published raw, (ii) published flagged, (iii) withheld and IPW used; measure bias in population posterior and regret decomposition. (5) Small‑N and adversary tests: trigger fallbacks for N&lt;200 and run Sybil/Byzantine attack scenarios to evaluate robust aggregation (trimmed-sum, median-of-means). All experiments are deterministic via published seeds and reported with confidence intervals.</w:t>
      </w:r>
    </w:p>
    <w:p>
      <w:r>
        <w:t xml:space="preserve"> </w:t>
      </w:r>
    </w:p>
    <w:p>
      <w:pPr>
        <w:pStyle w:val="Heading2"/>
      </w:pPr>
      <w:r>
        <w:t>Risk Factors And Limitations</w:t>
      </w:r>
    </w:p>
    <w:p>
      <w:r>
        <w:t>1) Small cohort sizes (N &lt; ~200) or highly synchronized arrivals break mean-field independence and increase estimation error; results may not generalize to very small transformers. 2) Differential privacy (DP) noise can bias population posteriors and increase regret; high per-round DP (small ε) can make p_hat unusable. 3) Forced‑charge IPW requires accurate forcing probabilities q_t; mis‑specifying q_t introduces bias in population estimates and regret. 4) Publishing forced counts or flags can leak privacy; hiding them reduces transparency and complicates unbiased correction. 5) LinDistFlow surrogate is an approximation; in feeders with large R/X ratios or meshed topology it may produce voltage errors and require full AC runs. 6) Exact population posterior updates cost O(N) and may be computationally heavy if done per agent for large N without aggregator support. 7) Adversarial agents (Sybil/Byzantine) and enrollment/attestation failures can distort aggregates; robust aggregation reduces but does not eliminate all attack effects. 8) Strategic behavior by agents (gaming tokens or surcharge) may affect equilibria; the model assumes bounded rationality unless explicitly modeled. 9) Field deployment requires device attestation, reliable secure aggregation, and regulator acceptance which may limit applicability in some jurisdictions.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