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quantum_lstm_attention_permeability</w:t>
      </w:r>
    </w:p>
    <w:p>
      <w:r>
        <w:t xml:space="preserve"> </w:t>
      </w:r>
    </w:p>
    <w:p>
      <w:pPr>
        <w:pStyle w:val="Heading2"/>
      </w:pPr>
      <w:r>
        <w:t>Title</w:t>
      </w:r>
    </w:p>
    <w:p>
      <w:r>
        <w:t>Quantum-enhanced long short-term memory with attention for spatial permeability prediction in oilfield reservoirs</w:t>
      </w:r>
    </w:p>
    <w:p>
      <w:r>
        <w:t xml:space="preserve"> </w:t>
      </w:r>
    </w:p>
    <w:p>
      <w:pPr>
        <w:pStyle w:val="Heading2"/>
      </w:pPr>
      <w:r>
        <w:t>Short Hypothesis</w:t>
      </w:r>
    </w:p>
    <w:p>
      <w:r>
        <w:t>Embedding variational quantum circuits (VQCs) into LSTM gating with attention reduces out-of-sample RMSE for spatial permeability maps by at least 5% compared to capacity-matched classical baselines under leave-one-well-out cross-validation.</w:t>
      </w:r>
    </w:p>
    <w:p>
      <w:r>
        <w:t xml:space="preserve"> </w:t>
      </w:r>
    </w:p>
    <w:p>
      <w:pPr>
        <w:pStyle w:val="Heading2"/>
      </w:pPr>
      <w:r>
        <w:t>Related Work</w:t>
      </w:r>
    </w:p>
    <w:p>
      <w:r>
        <w:t>Classical sequence models (LSTM, GRU) and attention mechanisms have been applied to spatial and temporal reservoir prediction but can struggle to capture complex spatial correlations across sparse wells. Classical deep models (CNNs, GNNs) and geostatistical methods (kriging, sequential Gaussian simulation) provide alternatives with trade-offs between locality and global structure modeling. Separately, quantum neural networks and variational quantum circuits (VQCs) have been proposed for enhanced representation power using quantum effects (superposition, entanglement) and have been integrated into small hybrid architectures for classification and time series tasks. Prior quantum‑enhanced sequence work is limited by NISQ hardware noise, high shot costs for gradient estimation (parameter-shift scaling with number of quantum parameters), trainability issues (barren plateaus), and lack of fair, capacity-matched classical baselines. Existing studies also rarely evaluate spatial generalization with reservoir-style LOWO splits or quantify spatial structure using variograms and SSIM.</w:t>
      </w:r>
    </w:p>
    <w:p>
      <w:r>
        <w:t xml:space="preserve"> </w:t>
      </w:r>
    </w:p>
    <w:p>
      <w:pPr>
        <w:pStyle w:val="Heading2"/>
      </w:pPr>
      <w:r>
        <w:t>Abstract</w:t>
      </w:r>
    </w:p>
    <w:p>
      <w:r>
        <w:t>We propose a hybrid quantum-classical model that embeds variational quantum circuits (VQCs) into LSTM gate projections and pairs them with an attention mechanism for spatial permeability prediction in oilfield reservoirs. The approach compresses multimodal petrophysical inputs into Q-dimensional vectors, angle-encodes them into shallow hardware-efficient VQCs, measures Pauli-Z expectations, and maps these outputs into LSTM gate pre-activations and attention heads. We compare two quantum gate designs (shared-gate and independent-gate) and sweep qubit counts Q∈{4,6,8,12}. The main contribution is a reproducible experimental protocol: PCA→learned-projection for feature→qubit mapping, matched-capacity classical baselines (Gate-MLP and LSTM-wide), LOWO spatial cross-validation, and concrete gradient/shot strategies (parameter-shift in simulation, SPSA on hardware). Expected outcomes are measurable improvements in point accuracy (RMSE) and spatial structure (SSIM, variogram-residual L2) when quantum gating provides additional representational capacity. The protocol enables fair comparisons and clear hardware-go/no-go criteria for NISQ deployment.</w:t>
      </w:r>
    </w:p>
    <w:p>
      <w:r>
        <w:t xml:space="preserve"> </w:t>
      </w:r>
    </w:p>
    <w:p>
      <w:pPr>
        <w:pStyle w:val="Heading2"/>
      </w:pPr>
      <w:r>
        <w:t>Methodology</w:t>
      </w:r>
    </w:p>
    <w:p>
      <w:r>
        <w:t>1) Data preparation: gather multimodal inputs per grid cell — core permeability (target), well logs (porosity, gamma, resistivity, density), facies labels, and co-registered seismic attributes. Create anisotropic grid and LOWO splits with buffer zones larger than variogram range. 2) Feature→qubit projection: per-channel standardize; facies as embedding; apply PCA to Dproj = min(2Q, original_dim) targeting variance retention (Q=4:≥75%, Q=6:≥85%, Q=8:≥90%, Q=12:≥95%); learn a small L2-regularized linear layer Dproj→Q (trained end-to-end). 3) VQCWrapper design: angle-encode Q inputs as Ry rotations (one per qubit); run L variational layers (L=2 nominal) where each layer applies Ry(θ) and Rz(φ) on each qubit followed by a ring CNOT entangler; measure Pauli-Z expectation on each qubit; output z∈R^Q. Trainable quantum parameters P = 2 rotations × Q × L = 4Q for L=2. 4) Gate configurations: shared-gates — reuse one VQCWrapper for multiple gates with separate small classical biases/projections; independent-gates — separate VQCWrapper per gate. 5) LSTM &amp; attention integration: replace gate linear projections in LSTM cell with VQCWrapper outputs followed by small classical linear readouts to produce pre-activations. Map z→learned linear→keys/queries/values for multi-head scaled-dot-product attention (4 heads). 6) Training pipeline: warm-start by training classical LSTMA until stable. Replace gate projections with VQCWrappers; freeze large classical layers initially and progressively unfreeze VQC layers. Use Adam for classical params (lr 1e-3→1e-4), smaller lr for VQC classical projections (1e-4). In simulator use parameter-shift gradients; on hardware switch to SPSA for VQC params while continuing AD for classical parts (alternate or synchronous update described below). 7) Diagnostics: log RMSE, SSIM, variogram-residual L2, gradient variance, global gradient norm, operator correlators or randomized-measurement purity estimates as entanglement proxies, and attention–VQC saliency overlays. 8) Reproducibility: provide container, seed lists, VQC ansatz specs, transpiled circuits, LOWO folds, and hardware calibration snapshots.</w:t>
      </w:r>
    </w:p>
    <w:p>
      <w:r>
        <w:t xml:space="preserve"> </w:t>
      </w:r>
    </w:p>
    <w:p>
      <w:pPr>
        <w:pStyle w:val="Heading2"/>
      </w:pPr>
      <w:r>
        <w:t>Experiments</w:t>
      </w:r>
    </w:p>
    <w:p>
      <w:r>
        <w:t>Datasets: real reservoir dataset with ≥30 wells if available (core permeability, well logs, facies, 3D seismic) plus synthetic ablation suite: sinusoidal spatial fields, mixture-of-Gaussians maps, and anisotropic variogram realizations with controlled ranges and nugget. Splits: leave-one-well-out (LOWO) with buffer &gt; variogram range; nested CV for hyperparameter tuning; hold out 1–2 blind wells for final reporting. Model variants: QLSTMA with shared-gate and independent-gate VQCs for Q∈{4,6,8,12} and L=2; matched baselines per variant: (A) Gate-MLP — classical MLP replacing VQC+readout with identical total trainable parameters (P + readout params), (B) LSTM-wide — widen linear projections so whole-model parameter count equals hybrid model. Additional baselines: kriging/SGS conditional simulation, CNN (U-Net on gridded patches), and a GNN on well graphs. Training setup: pretrain classical LSTMA (Adam lr 1e-3), then fine-tune hybrid models for up to 2000 optimizer steps; simulator gradients via parameter-shift (N_shots=1024), hardware fine-tune via SPSA (exploratory 512 shots→final 2048). Random seeds: ≥20 simulator seeds per config; hardware repeats: ≥10 runs. Metrics: point accuracy RMSE and MAE (global and per-facies), spatial structure SSIM, variogram-residual L2, autocorrelation (Moran’s I), probabilistic CRPS and PICP for uncertainty quantification. Statistical tests: paired comparisons per-well (Wilcoxon signed-rank if nonnormal) with Benjamini–Hochberg correction across ablations; report effect sizes and 95% CIs via paired bootstrap. Ablation studies: (1) varying Q to test qubit count effect; (2) shared vs independent gate design; (3) VQC vs Gate-MLP matched capacity; (4) noiseless simulator vs noisy simulator (device noise model) vs hardware runs; (5) gradient strategy comparison (parameter-shift joint AD vs alternate AD/SPSA). Pass criteria (simulator): median RMSE reduction ≥5%, SSIM increase ≥0.03 absolute, and variogram-residual L2 reduction ≥5% across LOWO folds with p&lt;0.05 over ≥20 seeds.</w:t>
      </w:r>
    </w:p>
    <w:p>
      <w:r>
        <w:t xml:space="preserve"> </w:t>
      </w:r>
    </w:p>
    <w:p>
      <w:pPr>
        <w:pStyle w:val="Heading2"/>
      </w:pPr>
      <w:r>
        <w:t>Risk Factors And Limitations</w:t>
      </w:r>
    </w:p>
    <w:p>
      <w:r>
        <w:t>1) Hardware noise and shots: NISQ devices introduce noise and require large shot budgets (hundreds–millions) making hardware experiments expensive and slow. 2) Trainability: VQCs can suffer barren plateaus (vanishing gradients) as Q or depth increases; effective trainability may restrict Q and L. 3) Parameter-count assumptions: P scales with ansatz choices; mismatch between assumed P and actual device transpilation can change shot costs and fairness of baselines. 4) Entanglement measurement: single-qubit entanglement entropy is impractical on hardware; proxies (two-qubit correlators, randomized measurements) have measurement overhead and noise. 5) Data limitations: typical reservoir datasets have few wells; statistical power to detect small improvements (≈5%) may be insufficient without many wells or synthetic augmentation. 6) Model generalization: improvements on synthetic or specific fields may not transfer to different reservoirs with distinct geology or facies distributions. 7) Computational cost: simulator parameter-shift gradients and many seeds incur large GPU hours; hardware queue latency adds wall-clock uncertainty. 8) Optimization synchronization: SPSA does not provide analytic gradients for classical parts; hybrid update schemes risk miscoordination and slower convergence. 9) Reproducibility risks: device drift, calibration changes, and differing transpilation can affect repeatability of hardware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