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facebook_rural_emerging_adult_cancer_prevention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pilot randomized study of a co-created Facebook-delivered web intervention to reduce multiple cancer risk behaviors among rural emerging adults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Participation in a co-created, theory-based Facebook private-group intervention will produce a greater reduction in a standardized composite cancer-risk index at 12 weeks compared with an attention-control condition.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used social media and web tools to deliver health behavior interventions to young adults, showing that platform-delivered, theory-informed messaging can increase engagement and change single behaviors. Limitations in existing approaches include poor tailoring to rural contexts, reliance on single-platform access (risking disruption if platform APIs or policies change), inconsistent use of community co-creation, small pilot sample sizes without clustering or contamination modeling, weak objective outcome verification (limited biochemical checks), and sparse mixed-methods integration to adapt content for low-bandwidth users. Existing studies also often lack pre-specified analytic plans addressing group clustering (intraclass correlation), cross-group contamination, and standardized multi-behavior outcome measures, limiting reproducibility and interpretation.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Rural emerging adults face multiple modifiable cancer risk factors (tobacco, alcohol, inactivity, poor diet, sun protection gaps, low HPV vaccination). We propose a mixed-methods development and pilot randomized study of a theory-driven intervention delivered via co-created Facebook private groups to reduce a standardized composite cancer-risk index at 12 weeks. The intervention will be built with community advisory boards and youth co-designers, map behavior change techniques (BCTs) to message modules, and include moderator-facilitated peer engagement. We will mirror content for low-bandwidth participants and pre-specify privacy-preserving logging (hashed IDs) and fallback channels (web portal, SMS). A 120-participant pilot (approx. 10 groups, m≈12) will estimate effect size, feasibility, contamination, and biomarker validation in a 25% cotinine subsample. Main contributions are: (1) a reproducible, community-engaged pipeline for multi-behavior social-media interventions in rural settings; (2) pre-specified analytic recipes for clustering, contamination, and missing data; and (3) empirical pilot estimates to inform a definitive trial. Expected outcome: demonstrable feasibility, acceptable engagement, and preliminary evidence of reduced composite risk scores.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Develop intervention content through community co-creation, map BCTs (behavior change techniques, i.e., the active strategies like goal-setting or modeling) to each target behavior, pilot prototypes in mixed-methods sessions, then run a 12-week pilot randomized study.</w:t>
        <w:br/>
        <w:t>1) Co-creation and content: Convene CAB and youth co-designers to prioritize tone, credible messengers, and low-bandwidth formats. Produce a BCT-to-message bank where each message is tagged with behavior_target and BCT_code. BCTs are short, named techniques (e.g., 'action planning').</w:t>
        <w:br/>
        <w:t>2) Delivery architecture: Primary channel = Facebook private groups (private, invitation-only). Maintain mirrored content packages (HTML + media ZIP) for fallback channels: mobile web portal (offline caching), SMS/text micro-messages, and emailed low-resolution PDFs. All posts have metadata tags (post_id, behavior_target, BCT_tags, media_type, timestamp).</w:t>
        <w:br/>
        <w:t>3) Privacy and logging: Hash platform IDs with HMAC-SHA256 (a secure one-way function) using a project salt stored in a secrets manager. Store engagement events (publish/view/comment/reaction) in encrypted DB; keep plaintext comment text only for clinician safety review and purge after review.</w:t>
        <w:br/>
        <w:t>4) Moderation and safety: Train two local moderators on facilitation, contamination flags, and escalation; one clinician on-call. Moderators log fidelity and response latency.</w:t>
        <w:br/>
        <w:t>5) Biometric subsample: Random 25% invited to return mailed saliva cotinine kits (barcoded) for tobacco verification. Cotinine = biomarker of recent nicotine exposure.</w:t>
        <w:br/>
        <w:t>6) Pilot RCT procedures: Screen and enroll N=120 rural emerging adults (ages 18–25), stratify by high/low digital equity (connectivity), randomize individually to intervention vs attention control. Run 12-week intervention with assessments at baseline, 12 weeks (primary), and 24-week follow-up.</w:t>
        <w:br/>
        <w:t>7) Data and analysis pipeline: Pre-register SAP; use linear mixed-effects models with random intercepts for Facebook group and participant; include digital equity and baseline risk as covariates. Define contamination indicator from hashed cross-group interactions and weekly self-report. Missing data: MICE (multiple imputation). CACE = complier average causal effect (instrumental variable method using random assignment).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Design: Parallel-group pilot RCT, N=120, randomized 1:1 to intervention or attention-control. Group structure: participants placed into private Facebook groups of ~12 participants each. Timeline: baseline, 12-week post-intervention primary endpoint, 24-week follow-up.</w:t>
        <w:br/>
        <w:t>Population and dataset: Eligibility: rural ZIP code resident, age 18–25, at least one target risk behavior. Collect: baseline demographics, six behavior measures (cigarettes/day, drinks/week, MVPA minutes/week, fruit/veg servings/day, sun-protection composite score, HPV vaccine initiation), Digital Equity Module (connectivity questions), weekly engagement logs, moderator logs, contamination self-report, and 25% saliva cotinine returns.</w:t>
        <w:br/>
        <w:t>Primary outcome: change from baseline to 12 weeks in standardized composite cancer-risk index (z-score combining the six behaviors; compute each behavior z-score standardized to baseline pooled SD, then average). Secondary outcomes: each individual behavior change, HPV initiation (binary), engagement metrics, retention.</w:t>
        <w:br/>
        <w:t>Baselines and controls: Attention-control arm receives weekly neutral health information (non-BCT, non-behavioral-change), mirrored in format to match contact time.</w:t>
        <w:br/>
        <w:t>Evaluation metrics: primary = mean difference in composite z-score change with 95% CI and standardized effect size. Report ICC (intraclass correlation) for Facebook groups. Other metrics: retention rate, proportion contaminated, engagement rate (views, comments), cotinine concordance rate.</w:t>
        <w:br/>
        <w:t>Statistical models: Linear mixed-effects model: outcome ~ Arm*Time + BaselineOutcome + age + sex + digital_equity + (1|group) + (1|participant). For HPV initiation use GLMM (logistic). Primary inference ITT.</w:t>
        <w:br/>
        <w:t>Power/sample scenarios: N=120, group m≈12. Design effects for ICC=0.01,0.025,0.05 → DE=1.11,1.275,1.55. Effective Ns ≈108,94,77. If non-clustered detectable d≈0.52 (80% power, α=0.05), clustering inflates detectable d to ≈0.55,0.59,0.65 respectively. Report precision intervals accordingly.</w:t>
        <w:br/>
        <w:t>Contamination analyses: define contamination C_i=1 if hashed IDs interact across randomized groups OR weekly self-report yes. Pre-specified sensitivity analyses: (1) exclude contaminated participants; (2) inverse-probability weighting using Pr(C=1|covariates); (3) CACE using randomization as instrument.</w:t>
        <w:br/>
        <w:t>Ablation study: randomly assign intervention arm sub-groups to 'video-enhanced' vs 'text-image-only' post versions (balanced across groups) to test modality effect; analyze as moderator of treatment effect.</w:t>
        <w:br/>
        <w:t>Baselines for comparison: attention-control described above; additional baseline behavioral measures used as covariates.</w:t>
        <w:br/>
        <w:t>Data quality checks: validate proxy engagement measures (reactions/comments timestamps) against any available platform 'view' logs; if view durations unavailable, rely on defined proxies and participant weekly self-report for validation.</w:t>
        <w:br/>
        <w:t>Outcome reporting: report estimates with 95% CIs, p-values, effect sizes, ICC, and contamination-adjusted estimates.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Platform dependency: Facebook API or policy changes may block automated logging or reduce available metrics (e.g., view durations). Contamination: participants may share content across groups, biasing ITT estimates; intensity/frequency of contamination may be hard to quantify. Digital divide: variable connectivity may reduce reach and bias sample toward better-connected individuals; low-bandwidth adaptations may have different potency. Sample size and power: pilot N=120 limits precision and power for small effects and for subgroup analyses. Biometric non-return: mailed cotinine kits may have low return rates, reducing validity of biomarker checks. Measurement bias: self-reported behaviors are subject to recall and social-desirability bias. Privacy and ethics: collecting plaintext comments for safety raises consent and access risks. Moderator burden: sustained moderation demands time and may lead to burnout affecting fidelity. Generalizability: rural emerging adults in sampled ZIPs may not represent all rural contexts or other age groups. Analytic limitations: modeling contamination, clustering, and missing-not-at-random mechanisms may still leave residual bias. Regulatory delays: Meta app review, DUAs, IRB approvals, and lab contracting can delay timelines.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