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a2ar_cp_csf_ventriculomegaly</w:t>
      </w:r>
    </w:p>
    <w:p>
      <w:r>
        <w:t xml:space="preserve"> </w:t>
      </w:r>
    </w:p>
    <w:p>
      <w:pPr>
        <w:pStyle w:val="Heading2"/>
      </w:pPr>
      <w:r>
        <w:t>Title</w:t>
      </w:r>
    </w:p>
    <w:p>
      <w:r>
        <w:t>Assessing A2A receptor antagonism in the choroid plexus to prevent PI3K/AKT–SPAK and NF-κB–ATP1A2–mediated CSF hypersecretion and ventriculomegaly in hydrocephalus</w:t>
      </w:r>
    </w:p>
    <w:p>
      <w:r>
        <w:t xml:space="preserve"> </w:t>
      </w:r>
    </w:p>
    <w:p>
      <w:pPr>
        <w:pStyle w:val="Heading2"/>
      </w:pPr>
      <w:r>
        <w:t>Short Hypothesis</w:t>
      </w:r>
    </w:p>
    <w:p>
      <w:r>
        <w:t>Aberrant activation of A2A receptors in choroid plexus epithelial cells causes increased CSF production and ventricular enlargement via PI3K/AKT-dependent SPAK phosphorylation and NF-κB-mediated reduction of ATP1A2, and pharmacologic A2A antagonism that achieves unbound CP concentrations ≥50 nM will normalize these pathways and reduce CSF production and ventricular volume by ≥30%.</w:t>
      </w:r>
    </w:p>
    <w:p>
      <w:r>
        <w:t xml:space="preserve"> </w:t>
      </w:r>
    </w:p>
    <w:p>
      <w:pPr>
        <w:pStyle w:val="Heading2"/>
      </w:pPr>
      <w:r>
        <w:t>Related Work</w:t>
      </w:r>
    </w:p>
    <w:p>
      <w:r>
        <w:t>Prior studies indicate adenosine A2A receptors (A2AR) influence choroid plexus (CP) secretion and that PI3K/AKT and SPAK signaling affect ion transporters involved in CSF production. Istradefylline and other A2AR antagonists have been shown to modify A2AR signaling in brain tissue and are being considered for repurposing. Existing work documents correlations between A2AR activity and CSF physiology but leaves causal links incomplete: specific biochemical chain A2AR→PI3K/AKT→SPAK phosphorylation and parallel NF-κB→ATP1A2 transcriptional control are not conclusively connected in CP; SPAK vs OSR1 redundancy is unresolved; quantitative CP drug exposure, receptor occupancy, and PK/PD anchors are lacking; and direct in vivo evidence that CP-specific A2AR blockade reduces CSF production and ventriculomegaly at clinically achievable exposures is not established.</w:t>
      </w:r>
    </w:p>
    <w:p>
      <w:r>
        <w:t xml:space="preserve"> </w:t>
      </w:r>
    </w:p>
    <w:p>
      <w:pPr>
        <w:pStyle w:val="Heading2"/>
      </w:pPr>
      <w:r>
        <w:t>Abstract</w:t>
      </w:r>
    </w:p>
    <w:p>
      <w:r>
        <w:t>Hydrocephalus involves pathological accumulation of cerebrospinal fluid (CSF) and ventricular enlargement. We propose to test whether aberrant adenosine A2A receptor (A2AR) signaling in choroid plexus (CP) epithelial cells drives CSF hypersecretion and ventriculomegaly through two mechanisms: PI3K/AKT-dependent SPAK phosphorylation (a protein kinase cascade that alters ion transporter activity) and NF-κB-dependent transcriptional regulation of ATP1A2 (a Na+/K+-ATPase isoform controlling ion gradients). We will combine cellular loss/gain of function, selective pharmacology including istradefylline, quantitative PK/PD and receptor occupancy, and rodent hydrocephalus models with longitudinal MRI to link molecular pathway modulation to CSF production and ventricular volume. Main contributions are (1) causal demonstration of CP A2AR→PI3K/AKT→SPAK and NF-κB→ATP1A2 mechanisms, (2) validated PD biomarkers (pAKT/pSPAK ratio, ATP1A2 activity, CSF adenosine), and (3) exposure–response data to evaluate istradefylline repurposing. Expected outcome: a falsifiable translational decision on whether CP-targeted A2AR antagonism can reduce CSF production and ventriculomegaly at achievable exposures.</w:t>
      </w:r>
    </w:p>
    <w:p>
      <w:r>
        <w:t xml:space="preserve"> </w:t>
      </w:r>
    </w:p>
    <w:p>
      <w:pPr>
        <w:pStyle w:val="Heading2"/>
      </w:pPr>
      <w:r>
        <w:t>Methodology</w:t>
      </w:r>
    </w:p>
    <w:p>
      <w:r>
        <w:t>1) Models and preparations: use primary rodent CP epithelial cultures, human iPSC-derived CP monolayers (CP-like cells), fresh human CP explants when available, and two rodent in vivo models: kaolin-induced communicating hydrocephalus (rats) and intraventricular hemorrhage model (mice). 2) Molecular perturbations: apply A2AR agonist (CGS21680) and antagonist (istradefylline) with dose/time series; perform A2AR siRNA and CRISPR KO in CP cells; implement inducible CP-specific Adora2a KO (Ttr-CreERT2 × Adora2a flox) for acute in vivo testing to avoid developmental compensation. 3) Signaling assays: measure cAMP (small molecule second messenger), PKA/Epac activity, pPI3K, pAKT(S473), pSPAK by validated westerns and targeted phosphoproteomics (mass spectrometry that quantifies phosphorylated sites). 4) Transcriptional assays: measure nuclear NF-κB (p65) by EMSA/ChIP-qPCR and quantify ATP1A2 mRNA and protein by qPCR and targeted proteomics. 5) Functional assays: ouabain-sensitive 86Rb+ uptake to measure Na+/K+-ATPase activity (86Rb+ is a potassium tracer), transepithelial flux and fluid secretion in Ussing chambers or transwells, and TEER (electrical resistance, a measure of barrier integrity). 6) Occupancy and PK/PD: ex vivo radioligand displacement on microdissected CP and NanoBRET occupancy in Nluc-A2AR iPSC-CP lines; rodent PK with plasma, CSF and microdissected CP sampling and unbound fraction measurement by equilibrium dialysis. 7) Imaging and physiology: longitudinal T2 MRI ventricular volumetry, continuous ICP telemetry, and ventriculo-cisternal perfusion to quantify CSF production. 8) Data standards: pre-validate antibodies with peptide competition and KO tissue, lock PD biomarker assays, and preregister endpoints and analysis. 9) Timeline examples: in vitro dose–response and antibody validation weeks 0–4; PK/PD pilot weeks 4–8; in vivo pilots and imaging weeks 6–12. Technical term explanations: PI3K/AKT are signaling proteins that transmit external signals to affect cell functions; SPAK is a kinase that controls ion transporters; NF-κB is a transcription factor that regulates gene expression.</w:t>
      </w:r>
    </w:p>
    <w:p>
      <w:r>
        <w:t xml:space="preserve"> </w:t>
      </w:r>
    </w:p>
    <w:p>
      <w:pPr>
        <w:pStyle w:val="Heading2"/>
      </w:pPr>
      <w:r>
        <w:t>Experiments</w:t>
      </w:r>
    </w:p>
    <w:p>
      <w:r>
        <w:t>Datasets and models: (A) Primary rodent CP cultures from adult rats (n donors ≥5); (B) human iPSC-CP monolayers from ≥5 donor lines; (C) human CP surgical explants when available (aim ≥6 samples); (D) in vivo cohorts: kaolin hydrocephalus in rats and intraventricular hemorrhage in mice. Baselines and controls: vehicle control, A2AR agonist (CGS21680), systemic istradefylline, CP-targeted istradefylline (ICV or nanoparticle), CP-specific Adora2a KO (Ttr-CreERT2×Adora2a flox induced acutely), A1 antagonist (DPCPX) and A2B antagonist (PSB-603), SPAK and OSR1 single and double KOs, AKT/PI3K inhibitors, NF-κB (IKK) inhibitor, and nonfunctional rescue constructs. Primary evaluation metrics: percent change in ventricular volume by MRI (primary physiologic endpoint), CSF production rate (ml/hr), ICP (mmHg), pAKT(S473) and pSPAK levels normalized to sham (% change), ATP1A2 activity measured as ouabain-sensitive 86Rb+ uptake (pmol/min/mg), CSF adenosine (ng/mL by LC-MS/MS), CP A2AR occupancy (%) by radioligand displacement, and unbound CP drug concentration (nM). Secondary metrics: TEER (Ω·cm2), NKCC1 phosphorylation, behavioral scores. Experimental setup: longitudinal MRI at baseline, day 3, day 7, day 14; PK sampling at 0.5, 1, 4, 8, 24 h post-dose; PD sampling matched to PK timepoints. Group sizes: MRI/physiology n=10–12/group (assume SD 15–20%, detect 30% change, power 0.8, α=0.05); molecular cohorts n=6–8. Statistical analysis: preregister mixed-effects model for longitudinal data with fixed effects (treatment, time, sex, age) and random intercepts for subject; molecular endpoints by ANOVA with Benjamini-Hochberg false discovery rate correction for multiple comparisons. Comparison/ablation study: SPAK vs OSR1 functional test — compare A2AR agonist response in SPAK KO, OSR1 KO, and double KO CP cells and rescue with phospho-dead (T233A) and phosphomimetic (T233E) SPAK constructs; read pNKCC1, ATP1A2 activity, transepithelial flux, and determine which kinase is necessary for A2AR effects. Data reporting: report EC50/IC50 values for pAKT and pSPAK suppression and for ATP1A2 restoration in nM; map in vivo MED (nM unbound in CP) that achieves pathway normalization and physiological effect.</w:t>
      </w:r>
    </w:p>
    <w:p>
      <w:r>
        <w:t xml:space="preserve"> </w:t>
      </w:r>
    </w:p>
    <w:p>
      <w:pPr>
        <w:pStyle w:val="Heading2"/>
      </w:pPr>
      <w:r>
        <w:t>Risk Factors And Limitations</w:t>
      </w:r>
    </w:p>
    <w:p>
      <w:r>
        <w:t>1) Measurement limits: CP is small and yields limited tissue mass; equilibrium dialysis for unbound fraction may be unreliable at tiny sample sizes and nonspecific binding can bias CP drug concentration. 2) Antibody and assay specificity: phospho-antibodies and ATP1A2 assays may give false positives unless validated by peptide competition and mass spectrometry; antibody failure risks key readouts. 3) Species and age differences: rodent CP A2AR expression and drug penetration may differ from human, and pediatric hydrocephalus biology may not be fully captured by adult rodent models. 4) Compensation and developmental effects: constitutive Adora2a KO can produce developmental compensation; inducible CP-specific KO design is complex. 5) Redundancy in kinase pathways: SPAK and OSR1 redundancy may mask single-gene interventions and require double KOs that have viability or off-target effects. 6) Off-target and peripheral effects: systemic A2AR antagonism can affect striatal circuits, cardiovascular parameters and behavior, confounding efficacy and safety readouts. 7) Imaging confounds: anesthesia and physiological state alter CBF and glymphatic clearance, which can confound MRI ventricular volume and tracer studies. 8) Statistical and sampling risks: higher-than-expected variance or attrition (surgical mortality) may underpower groups, especially for longitudinal measures. 9) Translational limit: achieving targeted unbound CP concentrations in humans at safe doses may not be feasible, limiting repurposing potential. 10) No mitigation strategies included per instructions.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