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lab_error_ttp_3yr</w:t>
      </w:r>
    </w:p>
    <w:p>
      <w:r>
        <w:t xml:space="preserve"> </w:t>
      </w:r>
    </w:p>
    <w:p>
      <w:pPr>
        <w:pStyle w:val="Heading2"/>
      </w:pPr>
      <w:r>
        <w:t>Title</w:t>
      </w:r>
    </w:p>
    <w:p>
      <w:r>
        <w:t>Three-year retrospective descriptive and Six Sigma analysis of laboratory testing errors across the total testing process in a general hospital</w:t>
      </w:r>
    </w:p>
    <w:p>
      <w:r>
        <w:t xml:space="preserve"> </w:t>
      </w:r>
    </w:p>
    <w:p>
      <w:pPr>
        <w:pStyle w:val="Heading2"/>
      </w:pPr>
      <w:r>
        <w:t>Short Hypothesis</w:t>
      </w:r>
    </w:p>
    <w:p>
      <w:r>
        <w:t>Applying a dual-denominator DPMO counting rule with granular specimen-source classification will identify higher and phase-shifted error rates in the pre-analytical phase compared to analytical and post-analytical phases, producing statistically different defect distributions across phases.</w:t>
      </w:r>
    </w:p>
    <w:p>
      <w:r>
        <w:t xml:space="preserve"> </w:t>
      </w:r>
    </w:p>
    <w:p>
      <w:pPr>
        <w:pStyle w:val="Heading2"/>
      </w:pPr>
      <w:r>
        <w:t>Related Work</w:t>
      </w:r>
    </w:p>
    <w:p>
      <w:r>
        <w:t>Prior retrospective studies of laboratory testing errors have used incident reports, LIS flags, and descriptive statistics to quantify pre-analytical, analytical, and post-analytical errors and applied Six Sigma conversions to communicate quality. Common limitations are inconsistent error taxonomies, single-denominator counting (usually per-test or per-specimen only), limited specimen-source granularity, weak record-linkage methods, absence of formal under-ascertainment adjustment (capture–recapture), minimal uncertainty quantification for DPMO→sigma (especially for rare events), and limited adjudication reliability reporting. Few works integrate human-factors coding or triangulate across instrument QC, LIS, and EHR timestamps to bound bias. Existing statistical models often ignore clustering by unit/instrument and do not pre-specify SPC escalation rules. These gaps reduce comparability, understate uncertainty, and limit actionability of suggested interventions.</w:t>
      </w:r>
    </w:p>
    <w:p>
      <w:r>
        <w:t xml:space="preserve"> </w:t>
      </w:r>
    </w:p>
    <w:p>
      <w:pPr>
        <w:pStyle w:val="Heading2"/>
      </w:pPr>
      <w:r>
        <w:t>Abstract</w:t>
      </w:r>
    </w:p>
    <w:p>
      <w:r>
        <w:t>Laboratory testing errors occur across pre-analytical, analytical, and post-analytical phases but prior work often underestimates rates due to inconsistent counting, sparse events, and incomplete linkage. We propose a reproducible three-year retrospective analysis that (1) adopts a dual-denominator approach (primary = test-request opportunities, secondary = specimen-level) with explicit counting rules for multiple defects per opportunity; (2) standardizes taxonomy to ISO 15189/CLSI and maps local codes to LOINC/SNOMED; (3) triangulates incident reports, LIS flags, instrument QC logs, and EHR timestamps; (4) bounds under-ascertainment with stratified capture–recapture; and (5) computes DPMO and Six Sigma with bootstrap and Bayesian uncertainty for sparse strata. We will model trends and clustering with GLMMs and monitor performance with SPC charts and pre-specified escalation triggers. The main contribution is a defensible, uncertainty-aware pipeline that yields phase- and specimen-specific error rates, sigma baselines, and prioritized targets for quality improvement. Expected impact is clearer, actionable metrics for targeted interventions on high-risk tests and processes.</w:t>
      </w:r>
    </w:p>
    <w:p>
      <w:r>
        <w:t xml:space="preserve"> </w:t>
      </w:r>
    </w:p>
    <w:p>
      <w:pPr>
        <w:pStyle w:val="Heading2"/>
      </w:pPr>
      <w:r>
        <w:t>Methodology</w:t>
      </w:r>
    </w:p>
    <w:p>
      <w:r>
        <w:t>1) Data sources: extract three years of records from the laboratory information system (LIS) (orders, results, accession IDs), incident-report database, instrument QC/maintenance logs, EHR order/result timestamps, and staffing rosters. 2) Mapping and taxonomy: map local test codes to LOINC and specimen attributes to SNOMED; publish a versioned codebook. 3) Denominators and counting rules: set primary opportunity = test-request (one ordered test/LOINC); secondary view = specimen-level. Count one defect per distinct failure mode per opportunity; allow multiple defects if they occur in different TTP phases (pre/analytical/analytical/post-analytical). Provide edge-case examples (e.g., hemolyzed tube that is also mislabeled counts as two defects if phase distinction is clear). 4) Record linkage: perform deterministic linkage by accession/order ID + MRN + timestamp ±2 hours, then probabilistic Fellegi–Sunter linkage for unmatched records; log match scores and clerical-review candidates. 5) Adjudication: two independent coders per candidate defect, 1 training session, target Cohen’s kappa ≥0.80; disagreements resolved by third adjudicator; store audit trail. 6) Bias bounding: fit stratified 2- and 3-source log-linear capture–recapture models to estimate total events and source detection probabilities; document strata used. 7) Metrics and uncertainty: compute defects per million opportunities (DPMO) = (defects/opportunities)*1,000,000; convert to sigma using z + 1.5 but also report bootstrap CIs and Bayesian credible intervals for sparse strata. For extremely rare strata report Poisson exact rates per 10,000 and hierarchical Bayesian rates instead of unreliable sigma. 8) Modeling: fit GLMMs — (a) logistic GLMM per opportunity with random intercepts for unit, instrument, and collector; (b) Poisson/negative-binomial GLMM for defect counts with log(opportunities) offset. Include fixed covariates: test group, specimen source, shift, month, staffing. 9) SPC and escalation: generate p-charts (proportions) and u-charts (defects/opportunity) with baseline = 12–24 months and Western Electric/8-point rules; pre-specify sigma thresholds and escalation actions. 10) Reproducibility and governance: version-controlled ETL and analysis code (Git), containerized environment, de-identified analytic dataset under DUA, and IRB approval.</w:t>
      </w:r>
    </w:p>
    <w:p>
      <w:r>
        <w:t xml:space="preserve"> </w:t>
      </w:r>
    </w:p>
    <w:p>
      <w:pPr>
        <w:pStyle w:val="Heading2"/>
      </w:pPr>
      <w:r>
        <w:t>Experiments</w:t>
      </w:r>
    </w:p>
    <w:p>
      <w:r>
        <w:t>Datasets: three full years of hospital data including (a) LIS order/result tables with accession IDs and timestamps, (b) incident-report records with free-text and coded reasons, (c) instrument QC and maintenance logs, (d) EHR order/result timestamps, and (e) staffing rosters. Baselines: (A) naive single-denominator counting using test-request only with incident reports only; (B) single-denominator with LIS flags only; (C) dual-denominator with triangulation and adjudication (proposed method). Evaluation metrics: DPMO, sigma (with bootstrap CI), defect rate per 10,000 (Poisson CI), Cohen’s kappa for adjudication, capture–recapture estimated detection probability and 95% CI, model AIC/BIC, ICCs from GLMMs, and SPC signals (special-cause counts). Experimental steps: 1) Preprocess and map codes to LOINC/SNOMED. 2) Link records deterministically then probabilistically; record match scores. 3) Adjudicate candidate defects; compute kappa. 4) Compute raw counts and DPMO for baselines A–C. 5) Apply capture–recapture stratified by test group and unit to estimate adjusted totals. 6) Bootstrap DPMO and sigma (1,000 clustered resamples by unit-date) to get CIs; for sparse strata run Bayesian Beta-Binomial with weakly informative prior (Beta(1,99) or calibrated to observed scale). 7) Fit GLMMs: logistic per-opportunity with random intercepts (unit, instrument, collector) and Poisson GLMM with offset; report fixed-effect estimates, p-values, ICCs. 8) Run SPC p/u-charts monthly and flag special-cause events. Comparisons/ablations: - Ablation 1: dual-denominator vs single-denominator effect on DPMO and sigma. - Ablation 2: with vs without capture–recapture adjustment. - Ablation 3: granular specimen-source breakdown vs aggregated specimen groups (aggregate when count&lt;50) to show information gain. - Model ablation: GLMM with vs without collector random effect to measure clustering influence. Power simulation: Monte Carlo simulations across baseline rates (0.01%–2%), ICCs (0.01,0.03,0.10), cluster counts (10–50) to estimate required opportunities to detect 20% relative reductions at 80% power; provide numeric tables.</w:t>
      </w:r>
    </w:p>
    <w:p>
      <w:r>
        <w:t xml:space="preserve"> </w:t>
      </w:r>
    </w:p>
    <w:p>
      <w:pPr>
        <w:pStyle w:val="Heading2"/>
      </w:pPr>
      <w:r>
        <w:t>Risk Factors And Limitations</w:t>
      </w:r>
    </w:p>
    <w:p>
      <w:r>
        <w:t>1) Underreporting and detection bias: incident reports may miss many defects; capture–recapture assumptions (closed population, homogeneous detection) can fail and bias estimates. 2) Sparse events: rare defects produce unstable sigma conversions; sigma can be misleading for small counts. 3) Linkage errors: deterministic/probabilistic linkage may produce false matches or missed links, affecting counts and adjudication workload. 4) Adjudication capacity: manual coding and clerical review may be time-consuming and cause bottlenecks; limited coder reliability reduces validity. 5) Missing or inconsistent timestamps and missing instrument/staff IDs impede phase assignment and modeling; imputation choices may bias results. 6) Clustering and confounding: unmeasured cluster-level factors (unit practices) and time-varying interventions may confound trends. 7) Privacy and governance: PHI restrictions may limit deterministic linkage or clerical review. 8) Generalizability: single-hospital retrospective findings may not generalize to other hospitals with different workflows or information systems. 9) Computational limits: bootstrapping, Bayesian models, and large-scale linkage can be compute-intensive and require adequate resources. 10) Interpretation limits: DPMO→sigma is a communication tool but may be misinterpreted operationally without complementary rate and uncertainty reporting.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