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india_ai_ethics_syllabus_review</w:t>
      </w:r>
    </w:p>
    <w:p>
      <w:r>
        <w:t xml:space="preserve"> </w:t>
      </w:r>
    </w:p>
    <w:p>
      <w:pPr>
        <w:pStyle w:val="Heading2"/>
      </w:pPr>
      <w:r>
        <w:t>Title</w:t>
      </w:r>
    </w:p>
    <w:p>
      <w:r>
        <w:t>Stratified syllabus-level corpus analysis to measure AI ethics coverage in Indian computing curricula</w:t>
      </w:r>
    </w:p>
    <w:p>
      <w:r>
        <w:t xml:space="preserve"> </w:t>
      </w:r>
    </w:p>
    <w:p>
      <w:pPr>
        <w:pStyle w:val="Heading2"/>
      </w:pPr>
      <w:r>
        <w:t>Short Hypothesis</w:t>
      </w:r>
    </w:p>
    <w:p>
      <w:r>
        <w:t>Courses labeled as AI-specialized or offered by premier institutions (cause) have a higher probability of containing assessed AI ethics components (depth score ≥3) than foundational CS courses (effect).</w:t>
      </w:r>
    </w:p>
    <w:p>
      <w:r>
        <w:t xml:space="preserve"> </w:t>
      </w:r>
    </w:p>
    <w:p>
      <w:pPr>
        <w:pStyle w:val="Heading2"/>
      </w:pPr>
      <w:r>
        <w:t>Related Work</w:t>
      </w:r>
    </w:p>
    <w:p>
      <w:r>
        <w:t>Prior work includes manual curriculum reviews and small-scale syllabus audits that report presence/absence of ethics topics, and automated text-mining studies that use keyword search or simple classifiers to detect topical coverage. Other related efforts apply multilingual OCR and embedding-based semantic search for document triage. Limitations in existing approaches are: small or single-institution samples that do not support generalization; English-only analyses that miss regional-language syllabi; keyword-based methods that fail to detect implicit or contextual ethics content; few studies calibrate OCR and translation error impacts on downstream detection; limited annotation goldsets and low reproducibility of pipelines; and inadequate attention to sampling bias from non-public syllabi. These gaps cause biased prevalence estimates, poor detection of nuanced pedagogy, and fragile automated labeling across Indian language varieties.</w:t>
      </w:r>
    </w:p>
    <w:p>
      <w:r>
        <w:t xml:space="preserve"> </w:t>
      </w:r>
    </w:p>
    <w:p>
      <w:pPr>
        <w:pStyle w:val="Heading2"/>
      </w:pPr>
      <w:r>
        <w:t>Abstract</w:t>
      </w:r>
    </w:p>
    <w:p>
      <w:r>
        <w:t>This study measures how AI ethics is taught across Indian computing programs by performing a stratified, syllabus-level corpus analysis. We collect a large, representative sample of publicly available syllabi in multiple Indian languages, convert them to searchable text, and segment course elements such as learning outcomes, weekly topics, and assessments. We combine human annotation with automated techniques—multilingual semantic embeddings, semantic search for implicit mentions, and multilabel classifiers—to detect ethics topics and assign a pedagogical depth score (0–4). A professionally translated goldset is used to calibrate OCR/MT errors and to set semantic-search thresholds. The main contribution is a validated, reproducible pipeline and corpus that provide calibrated prevalence estimates of ethics topics by institution type, region, language, and course type, plus per-stratum error estimates. Expected outcomes include quantifiable gaps in pedagogy, a public methodology (legal/ethical release permitting) for curriculum evaluation, and analytic outputs useful for educators and accreditation bodies seeking evidence-based integration of responsible AI competencies.</w:t>
      </w:r>
    </w:p>
    <w:p>
      <w:r>
        <w:t xml:space="preserve"> </w:t>
      </w:r>
    </w:p>
    <w:p>
      <w:pPr>
        <w:pStyle w:val="Heading2"/>
      </w:pPr>
      <w:r>
        <w:t>Methodology</w:t>
      </w:r>
    </w:p>
    <w:p>
      <w:r>
        <w:t>1. Sampling and collection: Create a stratified sampling frame by institution type (IIT/NIT/IIIT/central/state/private), geographic region, instructional language, and degree stage (UG/PG). Produce a reserve list for replacements and record availability metadata. 2. Ingestion and OCR: Download public syllabi PDFs/HTMLs. Apply language detection and layout parsing. Run OCR (primary engine) to extract text and store original and extracted files with provenance metadata. "OCR" means converting scanned images of pages into editable text. 3. Segmentation and metadata: Split text into segments: course title, learning outcomes (LOs), weekly topics, assessments, and reading list. Save segment offsets and metadata fields (institution, year, URL, file hash). 4. Translation and goldset: Professionally translate a stratified goldset (400–600 items) into a common language (English) for calibration. Use machine translation for bulk; tag MT outputs for QA. 5. Annotation and depth rubric: Use a 0–4 pedagogical depth rubric at the segment level: 0 none; 1 mention only; 2 module/lecture or explicit LO; 3 assessed component; 4 full course. Train annotators with codebook and double-annotate initial calibration sets. 6. Implicit detection via embeddings: Build a seed lexicon for ethics concepts and use multilingual sentence embeddings (embedding = numeric vector representing sentence meaning) to run semantic search across segments. Flag segments by cosine similarity scores for adjudication. 7. Classifier training and active learning: Train multilabel transformer-based classifiers (cross-lingual model) on annotated data to tag topics and predict depth scores. Use active learning (select uncertain samples) to prioritize human annotation. 8. Threshold calibration and validation: Use the translated goldset to compute ROC/PR curves, choose semantic-search score thresholds with target precision/recall tradeoffs, and report per-language and per-field error rates. 9. Reproducibility and provenance: Version data and code with Git and DVC, containerize pipelines (Docker), and export structured JSONL with segment text, offsets, labels, confidences, and provenance. 10. Outputs: Produce prevalence tables by stratum, confusion matrices, calibration plots, and the annotated corpus subset (per legal rules).</w:t>
      </w:r>
    </w:p>
    <w:p>
      <w:r>
        <w:t xml:space="preserve"> </w:t>
      </w:r>
    </w:p>
    <w:p>
      <w:pPr>
        <w:pStyle w:val="Heading2"/>
      </w:pPr>
      <w:r>
        <w:t>Experiments</w:t>
      </w:r>
    </w:p>
    <w:p>
      <w:r>
        <w:t>Dataset: Pilot corpus of 1,000 syllabi stratified by institution type, region, language (English, Hindi, Bengali, Tamil, Telugu), and degree stage. Goldset: 400–600 professionally translated syllabi stratified across languages. Baselines: (A) keyword-based detection using curated lexicons, (B) TF-IDF + logistic regression multilabel classifier, (C) monolingual classifier on English-only inputs. Proposed methods: multilingual embeddings + semantic search, transformer-based multilabel classifier with active learning, and explicit depth-score regressor (ordinal classifier). Splits: stratified train/validation/test (60/20/20) with the goldset reserved for final calibration and threshold selection. Evaluation metrics: per-label precision, recall, F1; macro-F1; area under PR curve (AUPRC); calibration (Brier score); OCR field extraction accuracy (%) per script; inter-annotator agreement (Cohen's kappa for categorical tags; Krippendorff's alpha for ordinal depth); and prevalence confidence intervals adjusted by inverse-probability weighting. Experimental setup: run OCR and segmentation on all documents; generate embeddings and run semantic-search to auto-flag candidate segments; annotate batches using LabelStudio with active learning batch size = 30; retrain models every 50 adjudicated documents. Ablation studies: 1) remove multilingual embeddings (use keyword baseline) to measure gain from semantic similarity; 2) remove professional translation goldset (use MT only) to measure calibration loss; 3) disable active learning (random sampling) to measure annotation efficiency change. Additional comparison: evaluate thresholds by ROC/PR analysis and report chosen operating points with corresponding precision/recall. Report subgroup metrics by language and institution tier and perform a sensitivity analysis for availability bias using inverse-probability weighting with trimmed extreme weights.</w:t>
      </w:r>
    </w:p>
    <w:p>
      <w:r>
        <w:t xml:space="preserve"> </w:t>
      </w:r>
    </w:p>
    <w:p>
      <w:pPr>
        <w:pStyle w:val="Heading2"/>
      </w:pPr>
      <w:r>
        <w:t>Risk Factors And Limitations</w:t>
      </w:r>
    </w:p>
    <w:p>
      <w:r>
        <w:t>Technical OCR failures on poor-quality scans or mixed scripts leading to lost segments. Machine translation and MT errors that reduce detection recall for implicit ethics language. Annotation variability and low inter-annotator agreement for borderline or implicit cases. Sampling bias from unavailable or restricted syllabi; reserve replacements may introduce bias. Class imbalance and rare-topic sparsity limiting reliable prevalence estimates for low-frequency ethics topics. Compute and storage limits for large-scale OCR and transformer training. Legal and copyright restrictions that may prevent full public release of text excerpts. Generalization limits: syllabus text may not reflect actual classroom practice or depth of instruction. Multilingual model performance may vary across languages and degrade for dialectal variants.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