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analytical_errors_trc_2021_2023</w:t>
      </w:r>
    </w:p>
    <w:p>
      <w:r>
        <w:t xml:space="preserve"> </w:t>
      </w:r>
    </w:p>
    <w:p>
      <w:pPr>
        <w:pStyle w:val="Heading2"/>
      </w:pPr>
      <w:r>
        <w:t>Title</w:t>
      </w:r>
    </w:p>
    <w:p>
      <w:r>
        <w:t>Retrospective analysis of laboratory analytical errors using specimen-level DPMO, capture-recapture adjustment, and hierarchical sigma estimation in a Thai Red Cross general hospital (2021–2023)</w:t>
      </w:r>
    </w:p>
    <w:p>
      <w:r>
        <w:t xml:space="preserve"> </w:t>
      </w:r>
    </w:p>
    <w:p>
      <w:pPr>
        <w:pStyle w:val="Heading2"/>
      </w:pPr>
      <w:r>
        <w:t>Short Hypothesis</w:t>
      </w:r>
    </w:p>
    <w:p>
      <w:r>
        <w:t>Applying specimen-level counting rules combined with capture-recapture adjustment and hierarchical Bayesian stabilization will yield significantly higher and more stable estimates of laboratory error rates and lower sigma values than unadjusted test-level counts.</w:t>
      </w:r>
    </w:p>
    <w:p>
      <w:r>
        <w:t xml:space="preserve"> </w:t>
      </w:r>
    </w:p>
    <w:p>
      <w:pPr>
        <w:pStyle w:val="Heading2"/>
      </w:pPr>
      <w:r>
        <w:t>Related Work</w:t>
      </w:r>
    </w:p>
    <w:p>
      <w:r>
        <w:t>Prior work on laboratory error surveillance typically uses retrospective error logs to report error counts by pre-analytical, analytical, and post-analytical phases and sometimes reports Six Sigma (sigma) metrics. Common approaches use test-level denominators, simple per-test error rates, and ad hoc aggregation rules. Limitations in existing methods include inconsistent denominator definitions (specimen vs test vs patient), lack of systematic handling for multi-analyte panels and reflex tests, limited accounting for underreporting, small-count instability for rare error types, minimal adjudication workflows, and weak uncertainty quantification for DPMO→sigma conversions. Few studies apply capture-recapture to adjust for underreporting, and even fewer use hierarchical or Bayesian models to stabilize rates for low-frequency categories. Reproducible ETL, versioned codebooks, and PDPA-compliant de-identification are rarely integrated end-to-end.</w:t>
      </w:r>
    </w:p>
    <w:p>
      <w:r>
        <w:t xml:space="preserve"> </w:t>
      </w:r>
    </w:p>
    <w:p>
      <w:pPr>
        <w:pStyle w:val="Heading2"/>
      </w:pPr>
      <w:r>
        <w:t>Abstract</w:t>
      </w:r>
    </w:p>
    <w:p>
      <w:r>
        <w:t>We present a reproducible, retrospective 3-year study of laboratory errors at a Thai Red Cross general hospital that evaluates counting rules, underreporting, and uncertainty in Six Sigma metrics. Using specimen-level primary analysis with predefined rules for multi-analyte and reflex testing, we extract de-identified error records (2021–2023), adjudicate ambiguous events via dual reviewers, and create two independent capture streams (voluntary reports and automated LIS triggers). We apply capture-recapture to estimate underreporting and present both unadjusted and adjusted defect-per-million-opportunity (DPMO) and sigma values with uncertainty. To stabilize estimates for rare error types we use hierarchical Poisson/Bayesian models and convert posterior DPMO distributions into sigma with Monte Carlo simulation. Time trends are analyzed with interrupted time-series standardized to 2021 test-mix. The main contribution is an end-to-end, auditable pipeline that quantifies how counting rules and underreporting adjustment change error rates and sigma, producing reproducible metrics to prioritize targeted DMAIC quality projects. Expected impact is clearer, more defensible laboratory quality measures to guide patient-safety interventions.</w:t>
      </w:r>
    </w:p>
    <w:p>
      <w:r>
        <w:t xml:space="preserve"> </w:t>
      </w:r>
    </w:p>
    <w:p>
      <w:pPr>
        <w:pStyle w:val="Heading2"/>
      </w:pPr>
      <w:r>
        <w:t>Methodology</w:t>
      </w:r>
    </w:p>
    <w:p>
      <w:r>
        <w:t>1) Data extraction and de-identification: obtain read-only LIS data (2021–2023) with hashed patient_id and specimen_id, timestamps, original_LIS_code, specimen_type/source, test_code, analyzer/method, operator_id_masked, patient_impact, corrective_action, and recurrence_flag. Salted one-way hashing is used to remove direct identifiers. 2) ETL and codebook mapping: map local LIS codes to a machine-readable codebook (JSON/CSV) containing error_code, phase, definition, inclusion/exclusion rules, canonical examples, edge cases, and original_LIS_codes. The ETL fails if unmapped codes are found. 3) Counting rules: primary unit = specimen-level. Count one specimen defect for specimen-wide failures (mislabel, wrong-patient, hemolysis, insufficient); count per-analyte for analyte-specific faults; count reflex tests only when performed. Implement sensitivity alternatives: test-level denominator and tests×failure-mode categories. 4) Adjudication: two independent reviewers use the codebook and a 1-hour calibration plus labeled practice cases; Cohen's kappa is computed and must meet ≥0.80; disputes go to a third adjudicator; record masked reviewer IDs and timestamps. 5) Underreporting estimate: extract two independent streams (voluntary reports vs automated LIS/middleware triggers). Deduplicate using hashed IDs and timestamp windows; perform two-source capture-recapture with log-linear models and Chapman/Chao estimators to produce adjusted defect counts and bounds. 6) Statistical modeling: compute raw rates per 1,000 tests/specimens and DPMO (defects/opportunities×1,000,000). Use hierarchical Poisson/Bayesian models (random effects for analyte/error-type) to stabilize low counts; report posterior means and 95% credible intervals. Convert posterior DPMO to sigma via Monte Carlo simulation (simulate DPMO draws, apply sigma conversion formula). 7) Time trends: standardize monthly rates to 2021 test-mix (direct standardization) and fit interrupted time-series (segmented regression with seasonal terms and AR(1) residuals). 8) Outputs and reproducibility: produce versioned Git repo, Docker environment, QC reports, Pareto charts, p-charts/run charts, and a KPI dashboard.</w:t>
      </w:r>
    </w:p>
    <w:p>
      <w:r>
        <w:t xml:space="preserve"> </w:t>
      </w:r>
    </w:p>
    <w:p>
      <w:pPr>
        <w:pStyle w:val="Heading2"/>
      </w:pPr>
      <w:r>
        <w:t>Experiments</w:t>
      </w:r>
    </w:p>
    <w:p>
      <w:r>
        <w:t>Dataset: full de-identified LIS and voluntary incident logs from Jan 1, 2021 to Dec 31, 2023 for the general hospital. Also provide a 2-week sample extract for pipeline validation. Baselines: A) unadjusted test-level error counts using one-opportunity-per-test; B) specimen-level counts without capture-recapture; Proposed method: specimen-level + capture-recapture + hierarchical Bayesian stabilization. Evaluation metrics: error rate per 1,000 tests, DPMO, sigma with 95% CI/credible interval, percent change between methods, Cohen's kappa for adjudication reliability, capture-recapture adjustment factor and bounds, and posterior probability that sigma &lt; 4 for each error type. Experimental procedures: 1) Run ETL and adjudication on sample extract; compute kappa and refine codebook. 2) On full dataset, produce counts and rates for Baseline A and B and Proposed method. 3) Apply capture-recapture: deduplicate streams using hashed_id + ±2 hour timestamp window; estimate adjusted counts with Chapman, Chao, and log-linear two-source with interaction term. 4) Fit hierarchical Poisson/Bayesian model (e.g., log(rate_ij)=μ+α_i; α_i~Normal(0,σ)) and sample posteriors (≥4000 effective draws) to obtain DPMO distributions. 5) Convert posterior DPMO draws to sigma via Monte Carlo and report posterior sigma summaries. 6) Ablation studies: (i) remove capture-recapture to assess its effect on rates; (ii) replace Bayesian stabilization with simple aggregation to show stability differences; (iii) vary deduplication timestamp window (±15 min, ±2 hr, ±24 hr) to test matching sensitivity. 7) Time-series: run ITS standardized to 2021 mix and compare segmented models with step vs ramp parameterizations. Reproducibility: share code, Dockerfile, and JSON codebook in the repo. All models run in R by default.</w:t>
      </w:r>
    </w:p>
    <w:p>
      <w:r>
        <w:t xml:space="preserve"> </w:t>
      </w:r>
    </w:p>
    <w:p>
      <w:pPr>
        <w:pStyle w:val="Heading2"/>
      </w:pPr>
      <w:r>
        <w:t>Risk Factors And Limitations</w:t>
      </w:r>
    </w:p>
    <w:p>
      <w:r>
        <w:t>1) Underreporting assumption: capture-recapture requires partial independence of sources; strong dependence can bias adjusted estimates. 2) Deduplication errors: hashed IDs and timestamp windows can produce false matches or missed links, affecting capture-recapture and aggregated counts. 3) Small counts: rare error types may remain statistically unstable despite hierarchical modeling; sigma conversions for low DPMO are sensitive to sampling variability. 4) Temporal confounding: concurrent workflow changes or pandemic effects may complicate ITS causal interpretation. 5) Data quality: missing or inconsistent LIS codes, timezone mismatches, or unrecorded corrective actions can limit analysis. 6) Generalizability: methods and rates derived from one hospital may not apply to other institutions with different workflows or test mixes. 7) Resource limits: adjudication and monthly audits require staff time; computationally, Bayesian models and bootstrap sigma conversions need moderate compute and time. 8) Privacy constraints: strict aggregation and suppression rules may limit public detail for rare but important error types.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