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anion_gap_lactate_sepsis_noshock</w:t>
      </w:r>
    </w:p>
    <w:p>
      <w:r>
        <w:t xml:space="preserve"> </w:t>
      </w:r>
    </w:p>
    <w:p>
      <w:pPr>
        <w:pStyle w:val="Heading2"/>
      </w:pPr>
      <w:r>
        <w:t>Title</w:t>
      </w:r>
    </w:p>
    <w:p>
      <w:r>
        <w:t>Retrospective ROC analysis of anion gap to predict elevated serum lactate in emergency department patients with sepsis without shock</w:t>
      </w:r>
    </w:p>
    <w:p>
      <w:r>
        <w:t xml:space="preserve"> </w:t>
      </w:r>
    </w:p>
    <w:p>
      <w:pPr>
        <w:pStyle w:val="Heading2"/>
      </w:pPr>
      <w:r>
        <w:t>Short Hypothesis</w:t>
      </w:r>
    </w:p>
    <w:p>
      <w:r>
        <w:t>Higher anion gap measured at emergency department presentation increases the probability of elevated serum lactate (&gt;2.0 mmol/L and &gt;4.0 mmol/L) in adult patients diagnosed with sepsis without shock.</w:t>
      </w:r>
    </w:p>
    <w:p>
      <w:r>
        <w:t xml:space="preserve"> </w:t>
      </w:r>
    </w:p>
    <w:p>
      <w:pPr>
        <w:pStyle w:val="Heading2"/>
      </w:pPr>
      <w:r>
        <w:t>Related Work</w:t>
      </w:r>
    </w:p>
    <w:p>
      <w:r>
        <w:t>Prior work shows anion gap (AG) correlates with serum lactate and short-term mortality and that high AG thresholds (for example, &gt;18 mmol/L) can identify many patients with markedly elevated lactate. Existing studies are limited by mixed cohorts that include patients with shock, variable timing between AG and lactate measurements, inconsistent use of albumin correction, small or underpowered samples for ROC precision, limited handling of inter-analyzer bias, and insufficient adjustment for selection/verification bias when lactate is not uniformly ordered. Many prior analyses report AUCs and single cutpoints but lack prespecified sensitivity-prioritized thresholds, formal decision-curve evaluations, robust missing-data/MNAR sensitivity checks, or internal validation procedures tailored to ED workflows.</w:t>
      </w:r>
    </w:p>
    <w:p>
      <w:r>
        <w:t xml:space="preserve"> </w:t>
      </w:r>
    </w:p>
    <w:p>
      <w:pPr>
        <w:pStyle w:val="Heading2"/>
      </w:pPr>
      <w:r>
        <w:t>Abstract</w:t>
      </w:r>
    </w:p>
    <w:p>
      <w:r>
        <w:t>Emergency departments need rapid, low-cost markers to identify sepsis patients at risk for tissue hypoperfusion as indicated by elevated serum lactate. This study evaluates whether anion gap (AG), measured early in the ED, predicts serum lactate &gt;2.0 mmol/L (primary) and &gt;4.0 mmol/L (secondary) in adults with sepsis but without shock. Using retrospective electronic health record data, we pair AG and lactate measurements within 60 minutes, compute albumin-corrected AG, harmonize lab sources, and assess predictive performance with ROC analysis. We derive Youden and sensitivity-prioritized (≥90%) AG cutpoints, estimate multivariable adjusted associations using penalized logistic regression with restricted cubic splines for AG, and address selection bias via testing-propensity weighting. Internal validation uses bootstrap and k-fold cross-validation and clinical utility is quantified with decision-curve analysis. The main contribution is a reproducible, ED-focused analytic pipeline that specifies robust cutpoints and decision metrics for using AG as a rapid surrogate to trigger reflex lactate testing or early sepsis evaluation. Expected outcomes include validated AG thresholds and transparent performance estimates to inform pragmatic ED use.</w:t>
      </w:r>
    </w:p>
    <w:p>
      <w:r>
        <w:t xml:space="preserve"> </w:t>
      </w:r>
    </w:p>
    <w:p>
      <w:pPr>
        <w:pStyle w:val="Heading2"/>
      </w:pPr>
      <w:r>
        <w:t>Methodology</w:t>
      </w:r>
    </w:p>
    <w:p>
      <w:r>
        <w:t>Cohort selection: extract adult ED encounters with suspected infection and an acute SOFA increase ≥2. Exclude encounters with shock (vasopressors or persistent hypotension unresponsive to fluids), diabetic ketoacidosis, end-stage dialysis, recent large IV bicarbonate, toxic alcohols, or paraproteinemia. Index sample selection: choose the earliest paired AG and lactate drawn within 60 minutes of ED presentation or sepsis recognition; a sensitivity window of 180 minutes will be analyzed separately. Laboratory harmonization: record specimen type (arterial/venous/POC/serum), analyzer model, and HCO3 source. Prefer ABG/VBG HCO3 for AG calculation; compute measured AG = Na − (Cl + HCO3) and albumin-corrected AG (AGc) = AG + 2.5 × (4.4 − albumin[g/dL]). If analyzers show systematic bias, perform platform-stratified analyses or linear calibration. Missing data: assess patterns; use multiple imputation by chained equations (MICE) under a missing-at-random assumption, including outcome and auxiliary variables; run delta-adjusted MNAR sensitivity checks. Selection bias: compare tested vs untested sepsis patients, fit a lactate-testing propensity model and apply inverse-probability weighting (IPW) in adjusted analyses; prespecify IPW diagnostics. Modeling and inference: primary outcome lactate &gt;2.0 mmol/L; secondary lactate &gt;4.0 mmol/L. Compute ROC curves and AUCs with bootstrap confidence intervals. Derive cutpoints by Youden index and by choosing the AG threshold achieving ≥90% sensitivity. Fit penalized logistic regression (LASSO or ridge) adjusted for age, sex, CKD/creatinine, albumin, SOFA, infection source, liver disease, diabetes, diuretic/IV fluid exposure, and analyzer type. Model AG continuously with restricted cubic splines to capture nonlinearity and test interactions AG×CKD and AG×albumin. Validate internally with bootstrap and k-fold CV and evaluate clinical utility with decision-curve analysis (net benefit). Document all software, package versions, random seeds, and share ETL and analysis scripts.</w:t>
      </w:r>
    </w:p>
    <w:p>
      <w:r>
        <w:t xml:space="preserve"> </w:t>
      </w:r>
    </w:p>
    <w:p>
      <w:pPr>
        <w:pStyle w:val="Heading2"/>
      </w:pPr>
      <w:r>
        <w:t>Experiments</w:t>
      </w:r>
    </w:p>
    <w:p>
      <w:r>
        <w:t>Datasets: retrospective ED EHR data from the study hospital covering a prespecified date range (pilot: ~200 lactate-tested sepsis encounters; full target cohort: 700–1,500 encounters to achieve ≥200 events for lactate&gt;2 and ~100 events for lactate&gt;4). Baselines: (1) uncorrected AG alone, (2) albumin-corrected AG (AGc), (3) prior rule AG&gt;18 mmol/L (reference threshold), and (4) a simple clinical baseline of initial SOFA score alone. Evaluation metrics: AUC (area under ROC), sensitivity, specificity, positive predictive value (PPV), negative predictive value (NPV), likelihood ratios (LR+/LR-), calibration intercept and slope, Brier score, and net benefit from decision-curve analysis. Primary experiment: compute ROC and AUC for AG and AGc predicting lactate&gt;2. Derive Youden cutpoint and sensitivity≥90% cutpoint; bootstrap (2,000 replicates) for 95% CIs. Fit penalized logistic regression adjusted for prespecified covariates; report odds ratios and optimism-corrected AUC (bootstrap ≥500). Internal validation: repeated k-fold CV (10 folds, 5 repeats) and bootstrap validation. Ablation/comparison studies: (A) compare AG vs AGc performance to quantify albumin correction impact; (B) compare analyses excluding vs including pairs with pre-sample interventions (fluids ≥500 mL, vasopressors, IV bicarbonate/diuretics) and run IPW-adjusted analyses to assess bias; (C) compare IPW vs unweighted and doubly robust/TMLE fallback estimates if IPW diagnostics fail. Sensitivity analyses: repeat primary analyses using 180-minute pairing window, platform-stratified ROC if analyzer heterogeneity present, and MNAR-imputed datasets with delta adjustments. Reporting: present full contingency tables at chosen cutpoints and estimated reflex-lactate volumes per 1,000 ED sepsis encounters.</w:t>
      </w:r>
    </w:p>
    <w:p>
      <w:r>
        <w:t xml:space="preserve"> </w:t>
      </w:r>
    </w:p>
    <w:p>
      <w:pPr>
        <w:pStyle w:val="Heading2"/>
      </w:pPr>
      <w:r>
        <w:t>Risk Factors And Limitations</w:t>
      </w:r>
    </w:p>
    <w:p>
      <w:r>
        <w:t>Selection and verification bias from nonuniform lactate ordering that may not be fully correctable by IPW. Measurement error and preanalytic loss in lactate (glycolysis) or variable specimen types (capillary vs whole blood) causing misclassification. Missing albumin or electrolytes that reduce usable cases or force reliance on imputation; if albumin is frequently missing, AGc estimates may be unstable. Inter-analyzer assay heterogeneity that cannot be fully calibrated could bias ROC estimates. Residual confounding from unmeasured clinical severity or treatments given before sampling. Reduced statistical power if event prevalence is lower than anticipated. Overfitting risk with many covariates despite penalization. Limited external validity if single-center data differ in lab methods or population; external validation may be delayed by data access. MNAR missingness mechanisms that invalidate MAR imputation assumptions. Operational impact estimates (reflex testing workload) depend on local practice and may not generalize.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