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triherbal_thromboinflammation_dm</w:t>
      </w:r>
    </w:p>
    <w:p>
      <w:r>
        <w:t xml:space="preserve"> </w:t>
      </w:r>
    </w:p>
    <w:p>
      <w:pPr>
        <w:pStyle w:val="Heading2"/>
      </w:pPr>
      <w:r>
        <w:t>Title</w:t>
      </w:r>
    </w:p>
    <w:p>
      <w:r>
        <w:t>Effect of a standardized 1:1:1 aqueous extract of Moringa oleifera, Ocimum gratissimum and Vernonia amygdalina on thromboinflammatory markers in a rat model of diabetes</w:t>
      </w:r>
    </w:p>
    <w:p>
      <w:r>
        <w:t xml:space="preserve"> </w:t>
      </w:r>
    </w:p>
    <w:p>
      <w:pPr>
        <w:pStyle w:val="Heading2"/>
      </w:pPr>
      <w:r>
        <w:t>Short Hypothesis</w:t>
      </w:r>
    </w:p>
    <w:p>
      <w:r>
        <w:t>Oral administration of 150 mg/kg/day of the standardized 1:1:1 aqueous triherbal dry extract for 28 days reduces platelet aggregation AUC to ADP (5 µM) in diet+STZ induced diabetic rats versus diabetic vehicle controls.</w:t>
      </w:r>
    </w:p>
    <w:p>
      <w:r>
        <w:t xml:space="preserve"> </w:t>
      </w:r>
    </w:p>
    <w:p>
      <w:pPr>
        <w:pStyle w:val="Heading2"/>
      </w:pPr>
      <w:r>
        <w:t>Related Work</w:t>
      </w:r>
    </w:p>
    <w:p>
      <w:r>
        <w:t>Prior work shows Moringa, Ocimum and Vernonia extracts each have anti‑inflammatory and antiplatelet signals in rodent diabetes models, but studies vary in extraction methods, dose units, and endpoints. Limitations: many studies use single‑herb extracts without standardized marker quantitation, lack robust acute toxicity or PK/PD data, use small unblinded cohorts, and often report only single biomarkers (e.g., platelet count) rather than functional platelet assays. Few studies compare single‑herb versus blended formulations or include positive pharmacologic controls. Reproducibility is weakened by inconsistent LTA (light transmission aggregometry) methods and missing pre‑analytical controls (fasting/state, timing), leaving open whether blended preparations offer additive, synergistic, or antagonistic effects and what exposure levels drive pharmacology.</w:t>
      </w:r>
    </w:p>
    <w:p>
      <w:r>
        <w:t xml:space="preserve"> </w:t>
      </w:r>
    </w:p>
    <w:p>
      <w:pPr>
        <w:pStyle w:val="Heading2"/>
      </w:pPr>
      <w:r>
        <w:t>Abstract</w:t>
      </w:r>
    </w:p>
    <w:p>
      <w:r>
        <w:t>Diabetes elevates subclinical inflammation and thrombotic risk via platelet hyperactivity and altered coagulation. This study tests whether a standardized 1:1:1 aqueous triherbal extract (Moringa oleifera, Ocimum gratissimum, Vernonia amygdalina) reduces thromboinflammatory markers in a rat model of insulin‑resistant diabetes. We will perform acute safety (Lorke) on the same standardized extract batch, then dose diabetic rats orally at 150 mg/kg/day for 28 days, with satellite PK sampling and blinded functional platelet testing. The primary outcome is ex vivo platelet aggregation AUC to ADP (5 µM) on day 28; secondary outcomes include platelet indices, soluble P‑selectin, fibrinogen (Clauss), D‑dimer, pro‑inflammatory cytokines, coagulation times, and histopathology. Main contribution: an integrated, reproducible evaluation linking standardized phytochemistry, exposure (PK) and platelet function using rigorous LTA SOPs and predefined statistical analysis. Expected outcome: demonstration of whether the triherbal blend at a therapeutically safe exposure modulates platelet function and systemic thromboinflammation in diabetic rats, informing dosing justification and translational potential.</w:t>
      </w:r>
    </w:p>
    <w:p>
      <w:r>
        <w:t xml:space="preserve"> </w:t>
      </w:r>
    </w:p>
    <w:p>
      <w:pPr>
        <w:pStyle w:val="Heading2"/>
      </w:pPr>
      <w:r>
        <w:t>Methodology</w:t>
      </w:r>
    </w:p>
    <w:p>
      <w:r>
        <w:t>1) Extract and standardize: produce aqueous extracts of each herb, quantify marker compounds (e.g., chlorogenic acid, rosmarinic acid, luteolin/quercetin glycoside) by HPLC/LC‑MS and prepare a 1:1:1 dry blend. Record certificate of analysis (CofA). 2) Acute safety: run two‑phase Lorke acute toxicity on the same batch (Phase I: 10,100,1000 mg/kg; Phase II: 2000 mg/kg) with clinical observations, hematology, coagulation and histology. 3) Animal model: use adult Wistar or Sprague–Dawley rats, induce insulin‑resistant T2D by 4‑week high‑fat diet then low‑dose STZ (35 mg/kg IP); confirm diabetes by fasting glucose ≥200 mg/dL on two occasions. 4) Group dosing: randomize and dose orally for 28 days: healthy vehicle, diabetic vehicle, diabetic+Moringa, diabetic+Ocimum, diabetic+Vernonia, diabetic+triherbal (150 mg/kg dry extract), diabetic+aspirin (30 mg/kg). 5) PK/PD: satellite animals for sparse PK (predose, 0.5, 1.5, 4 h at steady state and trough) measuring Cmax, Tmax, AUC0–4, and Ctrough by LC‑MS/MS; link exposure to same‑day platelet function. 6) Platelet function: perform LTA on platelet‑rich plasma (PRP) with SOP (see experiments) to obtain aggregation AUC to ADP. 7) Biomarkers: collect plasma for fibrinogen (Clauss), D‑dimer, soluble P‑selectin, IL‑6, TNF‑α, PT/aPTT and CBC at scheduled times. 8) Endpoints and analysis: primary endpoint is LTA AUC to ADP 5 µM at day 28; use prespecified ANOVA with Dunnett and mixed models for longitudinal data. 9) Documentation: blind outcome assessors, maintain LIMS traceability linking CofA, animal ID and assays.</w:t>
      </w:r>
    </w:p>
    <w:p>
      <w:r>
        <w:t xml:space="preserve"> </w:t>
      </w:r>
    </w:p>
    <w:p>
      <w:pPr>
        <w:pStyle w:val="Heading2"/>
      </w:pPr>
      <w:r>
        <w:t>Experiments</w:t>
      </w:r>
    </w:p>
    <w:p>
      <w:r>
        <w:t>Design: randomized, blinded in vivo study. Subjects: adult Wistar or Sprague–Dawley rats, both sexes, n=10/group (5 male, 5 female). Groups (7): healthy vehicle, diabetic vehicle, diabetic+Moringa (150 mg/kg), diabetic+Ocimum (150 mg/kg), diabetic+Vernonia (150 mg/kg), diabetic+triherbal (150 mg/kg total, 1:1:1 by weight), diabetic+aspirin (30 mg/kg). Primary metric: platelet aggregation AUC to ADP 5 µM measured by light transmission aggregometry (LTA). LTA technical setup: anticoagulant 3.2% sodium citrate (9:1 blood:anticoagulant), prepare PRP by centrifugation 150 × g for 10 min at room temperature, adjust PRP platelet count to 200–250 ×10^9/L using platelet poor plasma (PPP), run LTA at 37°C, stir speed 1000 rpm, measure aggregation with ADP 2 µM and 5 µM and collagen 1–2 µg/mL, start assay within 60 minutes of draw. Secondary metrics: platelet count, MPV, PDW, soluble P‑selectin, sCD40L, fibrinogen (Clauss), D‑dimer, vWF, IL‑6, TNF‑α, PT/aPTT, and histopathology. PK metrics (satellite n=3 per treatment): Cmax, Tmax, AUC0–4, Ctrough by LC‑MS/MS for marker compounds; correlate (Pearson or Spearman) with aggregation AUC. Baselines: pre‑treatment measures for all endpoints. Statistical plan: primary comparison via one‑way ANOVA with Dunnett vs diabetic vehicle (alpha=0.05); longitudinal endpoints via linear mixed models with fixed effects for group, time, sex and group×time; report effect sizes and 95% CI. Power/sample size: n=10 estimated to detect ~25–30% change in aggregation AUC with ~80% power assuming SD ~20–25% of mean; run an initial small variability pilot (n=4–6) if needed. Baselines and controls: aspirin arm as positive control; vehicle controls for diabetic and healthy. Ablation study: compare triherbal blend versus each single herb (already included) and perform an additive analysis: compute whether the triherbal effect differs from the sum of single‑herb effects (interaction test). Data handling: blinded analysis, predefined SAP, deposit raw data and code on publication.</w:t>
      </w:r>
    </w:p>
    <w:p>
      <w:r>
        <w:t xml:space="preserve"> </w:t>
      </w:r>
    </w:p>
    <w:p>
      <w:pPr>
        <w:pStyle w:val="Heading2"/>
      </w:pPr>
      <w:r>
        <w:t>Risk Factors And Limitations</w:t>
      </w:r>
    </w:p>
    <w:p>
      <w:r>
        <w:t>1) Phytochemical variability: batch marker content may vary and change bioactivity; single batch CofA reduces but does not eliminate this risk. 2) LTA reproducibility: light transmission aggregometry is sensitive to pre‑analytical handling (activation during draw, delays); assay failure or high variability could mask effects. 3) Translational limit: rodent doses and responses may not predict human outcomes; human equivalent dose and safety remain uncertain. 4) Herb–drug interactions: combined herbal constituents may interact pharmacodynamically with aspirin or alter PK of marker compounds. 5) Sex differences and power: sex‑stratified effects could require larger group sizes; current n may underpower sex interaction tests. 6) Toxicity discovery: unexpected subacute toxicity could halt the efficacy study after Lorke or require repeat‑dose GLP studies. 7) Assay supply/validation: ELISA or LC‑MS assays may fail validation in rat matrix, delaying PK/PD linkage. 8) Statistical assumptions: effect size and SD estimates may be incorrect, affecting power and interpretability. 9) Blood volume/welfare constraints: microsampling limits number of within‑animal timepoints for PK/PD correlations.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