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fcm_perceived_trust_covid</w:t>
      </w:r>
    </w:p>
    <w:p>
      <w:r>
        <w:t xml:space="preserve"> </w:t>
      </w:r>
    </w:p>
    <w:p>
      <w:pPr>
        <w:pStyle w:val="Heading2"/>
      </w:pPr>
      <w:r>
        <w:t>Title</w:t>
      </w:r>
    </w:p>
    <w:p>
      <w:r>
        <w:t>Quantifying clinicians' perceived trust in an interpretable COVID-19 clinical decision support system using fuzzy cognitive maps</w:t>
      </w:r>
    </w:p>
    <w:p>
      <w:r>
        <w:t xml:space="preserve"> </w:t>
      </w:r>
    </w:p>
    <w:p>
      <w:pPr>
        <w:pStyle w:val="Heading2"/>
      </w:pPr>
      <w:r>
        <w:t>Short Hypothesis</w:t>
      </w:r>
    </w:p>
    <w:p>
      <w:r>
        <w:t>Higher fuzzy-cosine similarity between a clinician's elicited fuzzy cognitive map (FCM) and the expert reference FCM increases the probability that the clinician will rely on the CDSS recommendation in case vignettes.</w:t>
      </w:r>
    </w:p>
    <w:p>
      <w:r>
        <w:t xml:space="preserve"> </w:t>
      </w:r>
    </w:p>
    <w:p>
      <w:pPr>
        <w:pStyle w:val="Heading2"/>
      </w:pPr>
      <w:r>
        <w:t>Related Work</w:t>
      </w:r>
    </w:p>
    <w:p>
      <w:r>
        <w:t>Prior work has used fuzzy cognitive maps (FCMs) and other cognitive-structure methods to represent user mental models and to assess trust in decision support systems. Explainable AI research in healthcare has developed interpretable artifacts (feature attributions, rules, counterfactuals) and measured user understanding, but typically lacks formal aggregation of clinician mental models or propagation of expert uncertainty. Validation studies commonly use degree-of-agreement statistics, ICC, and inter-rater metrics, yet they often rely on small convenience samples, do not pre-register a single primary hypothesis, and omit psychometric calibration of elicitation tools (e.g., slider anchors). Existing FCM approaches rarely specify robust regularization or identifiability diagnostics for dense edge spaces, and composite weighting schemes are sometimes derived circularly from the same data used for evaluation. Engineering reproducibility, deterministic randomization for test–retest, and privacy-preserving synthetic releases are also infrequently documented.</w:t>
      </w:r>
    </w:p>
    <w:p>
      <w:r>
        <w:t xml:space="preserve"> </w:t>
      </w:r>
    </w:p>
    <w:p>
      <w:pPr>
        <w:pStyle w:val="Heading2"/>
      </w:pPr>
      <w:r>
        <w:t>Abstract</w:t>
      </w:r>
    </w:p>
    <w:p>
      <w:r>
        <w:t>We address the problem of measuring and validating clinicians' perceived trust in an interpretable machine-learning clinical decision support system (CDSS) for COVID-19 diagnosis. We propose eliciting clinician trust mental models as fuzzy cognitive maps (FCMs), constructing a probabilistic expert reference FCM via a multicenter Delphi, and quantifying alignment with a primary fuzzy-cosine degree-of-agreement metric. Uncertainty from the Delphi is propagated into individual trust scores by Monte Carlo sampling so each score has a confidence interval. Composite importance weights for node activations are derived via nested cross-validation optimized to predict observed reliance behavior, avoiding circular inference. We pre-specify psychometric targets (test–retest ICC), mixed-effects confirmatory analyses, and secondary similarity metrics for robustness. The main contribution is a reproducible, auditable pipeline combining FCM elicitation, uncertainty propagation, and validated behavioral correlation to produce interpretable trust scores for an explainable CDSS. Expected outcomes include validated trust metrics with confidence bounds, operational MCID bands for alignment, and reproducible artefacts supporting translational evaluation.</w:t>
      </w:r>
    </w:p>
    <w:p>
      <w:r>
        <w:t xml:space="preserve"> </w:t>
      </w:r>
    </w:p>
    <w:p>
      <w:pPr>
        <w:pStyle w:val="Heading2"/>
      </w:pPr>
      <w:r>
        <w:t>Methodology</w:t>
      </w:r>
    </w:p>
    <w:p>
      <w:r>
        <w:t>1) Reference FCM creation: convene a multicenter Delphi panel (2–3 rounds) of clinicians and governance experts to define nodes (trust factors) and directed edges (influence weights). Ask experts for point estimates and uncertainty (e.g., SD). Aggregate per-edge empirical distributions and record round-wise responses. 2) Elicitation UI: build an interface showing an FCM network diagram; each directed edge is adjustable with an anchored slider ranging from -1 (strong negative influence) to +1 (strong positive influence), starting at neutral 0. Provide short tooltips and two practice calibration vignettes with numeric examples to align slider semantics. Record high-resolution slider events and timestamps. 3) Uncertainty propagation: convert Delphi per-edge SDs to empirical distributions and run Monte Carlo sampling (e.g., 5,000 draws) to generate probabilistic reference FCMs. For each clinician, compute the fuzzy-cosine similarity distribution to the sampled references, yielding a mean and CI. Fuzzy cosine is the cosine of two signed edge vectors normalized to [0,1]; cosine measures orientation similarity in simple terms. 4) Composite weight derivation (α): collect behavioral outcomes (binary reliance, accept/reject) and derive α by nested cross-validation: inner folds tune penalized regression (elastic-net) to predict behavior from node activations, outer folds lock α and evaluate on held-out data. Save seeds and fold assignments. 5) Metrics and confirmatory analysis: preregister primary test of association between mean fuzzy-cosine similarity and binary reliance using a mixed-effects logistic regression with random intercepts for clinician and vignette; fixed effects include vignette type and explanation version. Alpha=0.05; apply Benjamini–Hochberg for secondary tests. 6) Psychometrics: run cognitive interviews (n=8–12) to refine anchors, pilot n≈100 clinicians with m=8 vignettes each including 1–2 blinded repeats for ICC; target ICC≥0.80. 7) Reproducible pipeline: log seeds, versions, and checksums; containerize code; store provenance for all artifacts.</w:t>
      </w:r>
    </w:p>
    <w:p>
      <w:r>
        <w:t xml:space="preserve"> </w:t>
      </w:r>
    </w:p>
    <w:p>
      <w:pPr>
        <w:pStyle w:val="Heading2"/>
      </w:pPr>
      <w:r>
        <w:t>Experiments</w:t>
      </w:r>
    </w:p>
    <w:p>
      <w:r>
        <w:t>Datasets: 1) Vignettes: curate a set of 60 clinical vignettes covering typical, atypical, comorbid, and ambiguous COVID-19 presentations; split into calibration, pilot, and test pools. 2) Delphi expert responses: multicenter panel (≥12 experts) providing per-edge estimates. 3) Participant clinicians: pilot N=100 clinicians across ≥3 sites, each assigned m=8 randomized vignettes; main study tuned from pilot simulations. Baselines: A) unweighted DoA (edge-vector cosine without α), B) alternative DoA metrics (normalized Euclidean similarity, Pearson correlation, weighted Jaccard), C) aggregation variants for reference FCM (median, trimmed mean, bootstrapped mean). Evaluation metrics: primary: fuzzy-cosine similarity (rescaled 0–1) and binary reliance (accept/rely=1) analyzed by mixed-effects logistic regression; report OR, 95% CI, p-value. Secondary: ICC(2,1) for test–retest edge weights, Krippendorff’s alpha for inter-rater edge agreement, AUC for predicting reliance, change-in-diagnostic-accuracy, time-to-decision mean differences. Statistical procedures: bootstrap CIs (≥2,000 resamples) for similarity and ICC, permutation tests (10,000 shuffles) for group-level significance, Benjamini–Hochberg FDR for multiple secondary tests. Ablation studies: 1) remove α (compare predictive AUC of weighted vs unweighted trust scores), 2) vary activation steepness λ ∈ {0.5,1,2,5} and report stability of trust scores, 3) compare reference aggregation rules (median vs trimmed mean vs bootstrap) by mean similarity shifts and CI overlap. Experimental setup: randomized vignette and explanation order per participant with deterministic seeds logged; two calibration vignettes at start; include 1–2 blinded repeat vignettes to estimate ICC; pre-register the primary hypothesis test (mixed-effects logistic regression), alpha=0.05. Powering: run Monte Carlo simulations varying N∈{30,50,80,100}, m∈{6,8,12}, ICC∈{0.3,0.5,0.7} (5,000 reps per cell) to choose final N and m; preliminary target N≈100, m=8. Report full analysis code, seeds, and data provenance.</w:t>
      </w:r>
    </w:p>
    <w:p>
      <w:r>
        <w:t xml:space="preserve"> </w:t>
      </w:r>
    </w:p>
    <w:p>
      <w:pPr>
        <w:pStyle w:val="Heading2"/>
      </w:pPr>
      <w:r>
        <w:t>Risk Factors And Limitations</w:t>
      </w:r>
    </w:p>
    <w:p>
      <w:r>
        <w:t>Elicited FCMs represent reported mental models, not causal truth; edges reflect beliefs and may not map to causal mechanisms. Slider anchoring and framing can induce bias or anchoring effects. Small or nonrepresentative clinician samples limit generalizability across specialties, sites, or pandemic phases. Missing data and dropout may be MNAR and bias estimates. FCM estimation can be unstable in high-dimensional edge spaces (identifiability issues) and may require strong regularization that alters interpretability. Monte Carlo propagation and nested cross-validation increase compute cost and complexity. Psychometric thresholds may not be met in pilot, reducing confidence in measures. Synthetic/ de-identified data releases may carry residual re-identification risk. Multi-site heterogeneity may require larger samples and multi-level models to propagate site variance. Ethical risk: participant reporting of active patient-safety issues requires separate operational escalation outside study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