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pos_corpus_anomaly_detection</w:t>
      </w:r>
    </w:p>
    <w:p>
      <w:r>
        <w:t xml:space="preserve"> </w:t>
      </w:r>
    </w:p>
    <w:p>
      <w:pPr>
        <w:pStyle w:val="Heading2"/>
      </w:pPr>
      <w:r>
        <w:t>Title</w:t>
      </w:r>
    </w:p>
    <w:p>
      <w:r>
        <w:t>Statistical anomaly detection for automatic identification of annotation errors in a part-of-speech tagged corpus</w:t>
      </w:r>
    </w:p>
    <w:p>
      <w:r>
        <w:t xml:space="preserve"> </w:t>
      </w:r>
    </w:p>
    <w:p>
      <w:pPr>
        <w:pStyle w:val="Heading2"/>
      </w:pPr>
      <w:r>
        <w:t>Short Hypothesis</w:t>
      </w:r>
    </w:p>
    <w:p>
      <w:r>
        <w:t>Fitting probabilistic models to correctly annotated POS-tagged sentences and flagging low-likelihood token annotations will identify true annotation errors with precision@100 greater than 0.6 on a held-out Penn Treebank subset.</w:t>
      </w:r>
    </w:p>
    <w:p>
      <w:r>
        <w:t xml:space="preserve"> </w:t>
      </w:r>
    </w:p>
    <w:p>
      <w:pPr>
        <w:pStyle w:val="Heading2"/>
      </w:pPr>
      <w:r>
        <w:t>Related Work</w:t>
      </w:r>
    </w:p>
    <w:p>
      <w:r>
        <w:t>Existing approaches detect annotation errors by modeling normal data and flagging outliers. Classical methods use principal component analysis (PCA) or clustering to find tokens or examples that differ from typical patterns. Sequence models such as n-gram and hidden Markov models (HMMs) capture tag sequence regularities and report surprisal-based anomalies. Discriminative structured models like linear-chain conditional random fields (CRFs) provide per-token conditional probabilities but can overfit rare contexts. Recent embedding-based density estimators (Mahalanobis distance, Gaussian mixture models on contextual embeddings) and reconstruction models (autoencoders, VAEs) detect distributional outliers in high-dimensional space but struggle with small class counts and covariance estimation. Calibration and score fusion methods (stacking, isotonic regression, temperature scaling) are used to combine heterogeneous signals, but prior work often lacks rigorous leakage controls for synthetic error injection and nested cross-validation to avoid circular evaluation. Scalability and realistic synthetic-error generation remain open issues, as does reliable handling of rare tags and demonstrable downstream impact of corrections.</w:t>
      </w:r>
    </w:p>
    <w:p>
      <w:r>
        <w:t xml:space="preserve"> </w:t>
      </w:r>
    </w:p>
    <w:p>
      <w:pPr>
        <w:pStyle w:val="Heading2"/>
      </w:pPr>
      <w:r>
        <w:t>Abstract</w:t>
      </w:r>
    </w:p>
    <w:p>
      <w:r>
        <w:t>We present a reproducible pipeline that applies statistical anomaly detection to a part-of-speech (POS) tagged corpus to find likely annotation errors. The approach fits probabilistic models to a manually marked corpus, computes per-token anomaly signals from multiple models (tag-sequence surprisal, conditional posteriors, contextual-embedding densities, and reconstruction errors), and fuses these signals into a calibrated anomaly score used to prioritize human adjudication. Main contributions are: (1) a cascaded scoring pipeline combining cheap sequence models and expensive embedding densities to optimize compute; (2) a dual synthetic-error injection framework (confusion-prior and uniform) with pre-registered leakage tests and a never-injected human holdout for unbiased evaluation; and (3) a nested-cross-validation stacking and calibration protocol that produces precision@k, calibration metrics, and downstream impact estimates. We expect this method to increase discovery of real annotation errors efficiently, provide reproducible provenance for corrections, and quantify utility by reporting precision@100, calibration, and downstream tagger/parser deltas.</w:t>
      </w:r>
    </w:p>
    <w:p>
      <w:r>
        <w:t xml:space="preserve"> </w:t>
      </w:r>
    </w:p>
    <w:p>
      <w:pPr>
        <w:pStyle w:val="Heading2"/>
      </w:pPr>
      <w:r>
        <w:t>Methodology</w:t>
      </w:r>
    </w:p>
    <w:p>
      <w:r>
        <w:t>1) Data and splits: use the Penn Treebank (PTB) corpus. Create reproducible 80/10/10 sentence splits (train/dev/test) stratified by WSJ section, sentence length bins, and coarse POS-frequency bands. Reserve the test split and a never-injected human holdout for final evaluation. 2) Synthetic-error injectors: implement two injectors. (a) Confusion-prior injector: estimate a smoothed annotator confusion matrix (hierarchical Dirichlet–multinomial) and sample realistic tag swaps conditioned on lemma, suffix, capitalization, and dependency role priors; stratify rates by tag frequency. (b) Uniform injector: random tag swaps at matched overall rates. Log injector seeds and configs. 3) Base detectors and signals: compute per-token signals from: (i) smoothed tag-trigram/HMM surprisal (sequence surprisal = negative log probability of tag given neighbor tags); (ii) linear-chain CRF token posteriors P(tag|context); (iii) frozen BERT-base contextual embeddings with class-conditional Mahalanobis distances and small regularized GMM log-likelihoods (use Ledoit–Wolf shrinkage for covariance); (iv) token autoencoder reconstruction error; (v) lexical rarity and ensemble variance. 4) Cascaded execution: run cheap filters (n-gram/HMM/CRF) first to select candidates, then compute BERT-based signals on survivors to save compute. 5) Fusion and calibration: train an L2-regularized logistic stacking model on dev with injected errors to predict binary error labels; optimize for precision@k. Calibrate stacked scores using isotonic regression and optionally temperature scaling. Implement class-conditional calibrators for very rare tags. Use nested cross-validation for stacking to avoid overfitting to synthetic injections. 6) Explainability and exports: produce per-candidate explanations: top-3 alternative tags with probabilities, per-signal log-odds contributions, and nearest-neighbor in- and out-of-distribution examples in embedding space. Export provenance-rich JSONL with model and pipeline hashes.</w:t>
      </w:r>
    </w:p>
    <w:p>
      <w:r>
        <w:t xml:space="preserve"> </w:t>
      </w:r>
    </w:p>
    <w:p>
      <w:pPr>
        <w:pStyle w:val="Heading2"/>
      </w:pPr>
      <w:r>
        <w:t>Experiments</w:t>
      </w:r>
    </w:p>
    <w:p>
      <w:r>
        <w:t>Datasets: Penn Treebank (WSJ sections). Splits: 80% train, 10% dev, 10% test stratified by section, sentence length, and POS-frequency; a never-injected human holdout of ≈450 flagged tokens stratified by score-quantile, taxonomy, and frequency; top-100 adjudication export reserved for final precision@100. Baselines: (A) smoothed tag trigram/HMM surprisal, (B) linear-chain CRF token posteriors, (C) BERT-base Mahalanobis/GMM density, (D) token autoencoder reconstruction error, (E) uniform-random injector as calibration baseline. Proposed method: fused stacked logistic model combining signals from A–D with isotonic calibration. Evaluation metrics: precision@50 and precision@100, recall by error taxonomy (noun↔verb, possessive/clitic, function words, tokenization), PR-AUC, F1, ECE (expected calibration error), Brier score, per-tag reliability diagrams, and downstream POS accuracy and parsing UAS/LAS deltas. Statistical procedures: nested cross-validation for stacking, bootstrap (10k resamples) for CIs on metrics, Wilson intervals for proportions, paired bootstrap/permutation tests for downstream deltas, and Benjamini–Hochberg correction for multiple tests. Experimental setup: fixed random seeds and containerized environment; Ledoit–Wolf shrinkage for covariance estimation; GMMs with MAP priors and min component weight 0.01; class fallbacks: tied-covariance if class size &lt;100, diagonal if &lt;30. Ablation study: perform leave-one-signal-out ablation (remove each signal from fusion) and alternative-estimator comparison (conditional flows, conditional VAE, k-NN density) measuring precision@100 and taxonomy recall. Runtime reporting: record CPU/GPU, memory, and wall-clock for embedding extraction, GMM bootstrap (1,000 resamples), and stacked training. Reproducibility: publish DVC-tracked artifacts, MLflow logs, and adjudication JSONL with provenance.</w:t>
      </w:r>
    </w:p>
    <w:p>
      <w:r>
        <w:t xml:space="preserve"> </w:t>
      </w:r>
    </w:p>
    <w:p>
      <w:pPr>
        <w:pStyle w:val="Heading2"/>
      </w:pPr>
      <w:r>
        <w:t>Risk Factors And Limitations</w:t>
      </w:r>
    </w:p>
    <w:p>
      <w:r>
        <w:t>1) Leakage and circularity: synthetic injections may leak features used by detectors, biasing results. 2) Injection realism: synthetic errors may not match real annotator mistakes, limiting external validity and affecting calibration. 3) Low-count tags: rare tags have unstable covariance and density estimates, causing overflagging or missed errors. 4) Calibration transfer: calibration learned on injected errors may not transfer to real errors, producing miscalibrated scores. 5) Human adjudication variability: annotator disagreement and varying reviewer speed reduce estimate precision and complicate utility modeling. 6) Compute limits: BERT embedding extraction, GMM bootstrap, and normalizing-flow training can be resource-intensive and slow iterative cycles. 7) Overfitting to injectors: nested CV may still not eliminate tuning to specific injection patterns. 8) Downstream impact uncertainty: leave-one-out influence approximations for Impact(token) can have high variance and bias, making utility estimates noisy. 9) Generalization limits: methods tuned on PTB may not generalize to other corpora or genres. 10) Provenance completeness: missing artifact hashes or non-deterministic steps can reduce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