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prob_smooth_attention_mil</w:t>
      </w:r>
    </w:p>
    <w:p>
      <w:r>
        <w:t xml:space="preserve"> </w:t>
      </w:r>
    </w:p>
    <w:p>
      <w:pPr>
        <w:pStyle w:val="Heading2"/>
      </w:pPr>
      <w:r>
        <w:t>Title</w:t>
      </w:r>
    </w:p>
    <w:p>
      <w:r>
        <w:t>Probabilistic smooth attention with structured priors for deep multiple instance learning in medical imaging</w:t>
      </w:r>
    </w:p>
    <w:p>
      <w:r>
        <w:t xml:space="preserve"> </w:t>
      </w:r>
    </w:p>
    <w:p>
      <w:pPr>
        <w:pStyle w:val="Heading2"/>
      </w:pPr>
      <w:r>
        <w:t>Short Hypothesis</w:t>
      </w:r>
    </w:p>
    <w:p>
      <w:r>
        <w:t>Modeling attention probabilistically with a structured prior that combines local graph smoothness and low-rank global factors will produce better-calibrated instance-level localization and higher bag-level classification performance than deterministic attention models under multi-center medical imaging data.</w:t>
      </w:r>
    </w:p>
    <w:p>
      <w:r>
        <w:t xml:space="preserve"> </w:t>
      </w:r>
    </w:p>
    <w:p>
      <w:pPr>
        <w:pStyle w:val="Heading2"/>
      </w:pPr>
      <w:r>
        <w:t>Related Work</w:t>
      </w:r>
    </w:p>
    <w:p>
      <w:r>
        <w:t>Existing MIL approaches for medical imaging use deterministic attention or simple smoothness regularizers to weight instances (patches or slices). Graph-based and GNN attention models add spatial context but typically produce point estimates without calibrated uncertainty. Bayesian attention or logistic-normal approaches model uncertainty but often ignore explicit local adjacency or global low-rank dependencies, or they do not scale to large whole-slide images (WSIs) and CT volumes. CRF/regularized methods impose heuristic smoothing but lack a probabilistic posterior for credible intervals. Low-rank global priors (e.g., slide factors) have been used separately from local GMRF-style smoothness, but combined structured priors and amortized variational inference for attention remain underexplored. Limitations in prior work include poor uncertainty calibration, scale/shift identifiability issues from softmax invariance, solver/scalability bottlenecks on large N, and limited clinical validation of attention maps.</w:t>
      </w:r>
    </w:p>
    <w:p>
      <w:r>
        <w:t xml:space="preserve"> </w:t>
      </w:r>
    </w:p>
    <w:p>
      <w:pPr>
        <w:pStyle w:val="Heading2"/>
      </w:pPr>
      <w:r>
        <w:t>Abstract</w:t>
      </w:r>
    </w:p>
    <w:p>
      <w:r>
        <w:t>We address instance-level interpretability and uncertainty in deep multiple instance learning (MIL) for medical imaging by modeling attention as a structured probabilistic object. We propose a Gaussian latent model over pre-softmax attention logits whose precision combines a sparse local smoothness term (a Gaussian Markov random field built from spatial adjacency) and a low-rank global factor term capturing slide- or patient-level effects. An amortized variational Gaussian posterior is produced by a lightweight GNN encoder that outputs a mean and a structured precision; the evidence lower bound (ELBO) is optimized with Monte Carlo reparameterization and an analytic Gaussian KL term. The method yields attention maps with credible intervals and explicit control of local and global interactions, while solver fallbacks (sparse Cholesky, preconditioned conjugate gradient, and Nyström) allow scaling. Main contributions are (1) the combined probabilistic smooth attention prior, (2) a practical inference and solver strategy for large instance sets, and (3) evaluation protocols that measure calibration and localization. Expected outcome: better-calibrated, spatially coherent attention maps and improved bag-level accuracy on multi-center WSIs and CT scans.</w:t>
      </w:r>
    </w:p>
    <w:p>
      <w:r>
        <w:t xml:space="preserve"> </w:t>
      </w:r>
    </w:p>
    <w:p>
      <w:pPr>
        <w:pStyle w:val="Heading2"/>
      </w:pPr>
      <w:r>
        <w:t>Methodology</w:t>
      </w:r>
    </w:p>
    <w:p>
      <w:r>
        <w:t>1) Data and instances: extract spatially coherent patches from WSIs or slices/patches from CT volumes with patient-level labels; save patch coordinates. 2) Feature encoder: compute instance embeddings with a CNN backbone; optionally freeze or finetune. 3) Graph construction: build a k-NN graph from patch positions and optional feature similarity; form the normalized graph Laplacian L. (GMRF: a Gaussian Markov random field is a model that encodes local smoothness via a sparse precision matrix derived from the graph.) 4) Prior precision: define prior precision S_p = τ_L L + U Λ U^T + τ_I I where τ_L controls local smoothness, U (N×r) are global factors and Λ diagonal scales; low-rank term models global slide/patient effects (low-rank means few global factors). 5) Variational posterior: amortize q(g|X)=N(μ(X), Σ_q(X)) via a small GNN that outputs μ and structured precision S_q = τ'_L L + U' Λ' U'^T + D. Parameterize μ_raw and project μ = P μ_raw with P = I - (1/N)11^T to enforce zero-sum (removes additive softmax ambiguity). Parameterize U' to be orthogonal to the constant vector by projecting columns: U' := U_raw - (1/N)1(1^T U_raw). 6) Sampling: sample g by reparameterization: draw ε_s ∼ N(0,I_N), ε_r ∼ N(0,I_r) and compute g = μ + S_q^{-1/2} ε via sparse solves for S_base = τ'_L L + D and Woodbury updates for low-rank parts. Woodbury is a matrix identity that makes inverses with low-rank updates efficient. 7) ELBO: compute ELBO = E_q[log p(y | softmax(g/τ), X)] − KL(q||p). Evaluate KL analytically in Gaussian space. Backpropagate through samplers using implicit/adjoint linear solves for stable gradients; implement custom autograd functions (PyTorch) or implicit_solve (JAX) that run a linear solve in backward. 8) Identifiability: tie attention temperature τ with instance-score normalization and enforce μ^T1=0 and U'^T1=0. 9) Solvers and fallbacks: attempt sparse Cholesky when factorization fit memory; otherwise use PCG with incomplete-Cholesky or AMG preconditioner. For very large N use subgraph minibatching, supernode pooling, or Nyström inducing-point approximations (fixed small r). 10) Training recipe: KL anneal 0→1 over initial steps, τ anneal if used, 4 MC samples per update, AdamW optimizer, gradient clipping, mixed precision. 11) Outputs: mean attention maps, per-instance posterior variance, and credible intervals.</w:t>
      </w:r>
    </w:p>
    <w:p>
      <w:r>
        <w:t xml:space="preserve"> </w:t>
      </w:r>
    </w:p>
    <w:p>
      <w:pPr>
        <w:pStyle w:val="Heading2"/>
      </w:pPr>
      <w:r>
        <w:t>Experiments</w:t>
      </w:r>
    </w:p>
    <w:p>
      <w:r>
        <w:t>Datasets: multi-center cohort of WSIs and volumetric CT scans with patient-level labels and region-level annotations from at least three centers; hold out one external center for final testing. If public data used, include representative WSI and CT collections with patch annotations. Data splits: patient-level stratified train/val/test with five random seeds. Baselines: (A) standard MIL-attention (deterministic softmax attention), (B) deterministic Laplacian-regularized attention, (C) Dirichlet/stick-breaking attention, (D) GNN-attention without probabilistic prior, (E) CRF-smoothed attention. Metrics: bag-level AUROC and AUPRC, NLL, Brier score; instance/localization FROC, AP@k (k=1,5,10), IoU/Dice vs ROIs; calibration CRPS and ECE (10 bins); credible-interval empirical coverage at 50/80/95%; attention spatial smoothness (normalized Laplacian energy). Training setup: 4 MC samples train, 500 MC samples eval for CI, AdamW lr=1e-4, KL anneal 10k steps, batch accumulate to effective batch 8. Statistical testing: DeLong for AUROC, paired bootstrap (1,000 resamples) for other metrics, Benjamini–Hochberg correction. Ablations: 1) prior ablation: GMRF-only vs low-rank-only vs combined; 2) variational family: Gaussian logistic-normal vs Dirichlet/stick-breaking; 3) solver ablation: sparse Cholesky vs PCG vs Nyström for N={10k,50k,100k} measuring runtime, memory, and localization error; 4) MC-budget sweep: train with 4 samples, evaluate with {100,250,500,1000} samples and record CI coverage and runtime. Report mean±std over seeds and per-center results.</w:t>
      </w:r>
    </w:p>
    <w:p>
      <w:r>
        <w:t xml:space="preserve"> </w:t>
      </w:r>
    </w:p>
    <w:p>
      <w:pPr>
        <w:pStyle w:val="Heading2"/>
      </w:pPr>
      <w:r>
        <w:t>Risk Factors And Limitations</w:t>
      </w:r>
    </w:p>
    <w:p>
      <w:r>
        <w:t>1) Identifiability: enforcing zero-sum and orthogonality constraints complicates optimization and requires correct projection-aware gradients; wrong implementation can bias inference. 2) Variational gap: Gaussian posterior in pre-softmax space may poorly approximate true posterior on the simplex, causing miscalibrated attention credible intervals. 3) Solver scalability: sparse Cholesky may not scale past tens of thousands of nodes due to memory; PCG may require many iterations for ill-conditioned graphs, increasing training time. 4) Large-N trade-offs: subgraphing, pooling or Nyström approximations can degrade attention localization quality when aggressive compression is used. 5) MC cost: 500–1000 MC samples per slide at evaluation is compute-heavy and may be infeasible for large test sets. 6) Data biases: limited or inconsistent annotations across centers cause biased calibration and impaired generalization. 7) Clinical interpretation: attention maps are not guaranteed causal explanations and may mislead clinicians if relied upon without validation. 8) Robustness: method may be sensitive to graph construction (k choice), staining/scanner variation, and adversarial artifacts, limiting generalization across centers.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