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xai_mri_distal_myopathy</w:t>
      </w:r>
    </w:p>
    <w:p>
      <w:r>
        <w:t xml:space="preserve"> </w:t>
      </w:r>
    </w:p>
    <w:p>
      <w:pPr>
        <w:pStyle w:val="Heading2"/>
      </w:pPr>
      <w:r>
        <w:t>Title</w:t>
      </w:r>
    </w:p>
    <w:p>
      <w:r>
        <w:t>Fidelity-weighted ensemble explainable AI with hierarchical occlusion for MRI diagnostic support in distal myopathies</w:t>
      </w:r>
    </w:p>
    <w:p>
      <w:r>
        <w:t xml:space="preserve"> </w:t>
      </w:r>
    </w:p>
    <w:p>
      <w:pPr>
        <w:pStyle w:val="Heading2"/>
      </w:pPr>
      <w:r>
        <w:t>Short Hypothesis</w:t>
      </w:r>
    </w:p>
    <w:p>
      <w:r>
        <w:t>A fidelity-weighted ensemble of multiple XAI methods combined with hierarchical occlusion will produce explanations with higher localization fidelity (IoU) and higher radiologist trust scores than individual XAI methods for an MRI diagnostic model of distal myopathies.</w:t>
      </w:r>
    </w:p>
    <w:p>
      <w:r>
        <w:t xml:space="preserve"> </w:t>
      </w:r>
    </w:p>
    <w:p>
      <w:pPr>
        <w:pStyle w:val="Heading2"/>
      </w:pPr>
      <w:r>
        <w:t>Related Work</w:t>
      </w:r>
    </w:p>
    <w:p>
      <w:r>
        <w:t>Existing explainability work for medical imaging uses three broad families: gradient-based attribution (e.g., Grad-CAM variants, Integrated Gradients) that compute sensitivity from model gradients; perturbation-based methods (e.g., occlusion maps, RISE) that measure prediction changes when parts of the image are modified; and concept/prototype methods (e.g., TCAV, retrieval of nearest examples) that relate predictions to higher-level concepts or examples. Prior studies show gradient methods are fast but can be diffuse and sensitive to noise; perturbation methods are more faithful but computationally costly and can create artifacts depending on how replaced pixels are generated; concept methods give human-interpretable signals but need curated concept sets and often lack spatial specificity. Few prior works combine multiple XAI families into a single, auditable ensemble with per-method fidelity weighting. Limitations in existing approaches include (1) replacement-induced artifacts in perturbation maps, (2) lack of standardized fidelity metrics or gating rules before clinical evaluation, (3) limited evaluation with expert readers in controlled MRMC designs, (4) scarce handling of multi-site scanner variability and physics-aware harmonization, and (5) inadequate provenance required for regulatory traceability.</w:t>
      </w:r>
    </w:p>
    <w:p>
      <w:r>
        <w:t xml:space="preserve"> </w:t>
      </w:r>
    </w:p>
    <w:p>
      <w:pPr>
        <w:pStyle w:val="Heading2"/>
      </w:pPr>
      <w:r>
        <w:t>Abstract</w:t>
      </w:r>
    </w:p>
    <w:p>
      <w:r>
        <w:t>We propose a practical pipeline that combines hierarchical occlusion with an ensemble of explainability methods to produce clinician-oriented visual explanations for an MRI diagnostic support model of distal myopathies. The pipeline applies multiple XAI methods (gradient-based, perturbation-based, attribution propagation, concept scores and counterfactuals), evaluates each method using objective fidelity metrics, and fuses methods with constrained, fidelity-weighted linear fusion to generate a single, interpretable visualization per scan. Hierarchical occlusion uses anatomy-aligned segments (leg compartments → muscle groups → individual muscles) and physics-aware replacements (tissue-matched sampling, model-based inpainting, contralateral patches) to avoid artefacts. We measure explanation quality with AOPC, insertion/deletion, localization IoU and stability, and we pre-register gating thresholds before radiologist evaluation. The approach is validated on multi-site MRI data with held-out external centers and an MRMC reader study comparing prediction-only, prediction-plus-explanation, and baseline reads. Expected outcomes are reproducible, higher-fidelity localization maps, improved radiologist interpretability ratings, and an auditable workflow aligned with regulatory transparency requirements.</w:t>
      </w:r>
    </w:p>
    <w:p>
      <w:r>
        <w:t xml:space="preserve"> </w:t>
      </w:r>
    </w:p>
    <w:p>
      <w:pPr>
        <w:pStyle w:val="Heading2"/>
      </w:pPr>
      <w:r>
        <w:t>Methodology</w:t>
      </w:r>
    </w:p>
    <w:p>
      <w:r>
        <w:t>1) Data and annotations: collect multi-site MRI cases including PDFF (proton density fat fraction) and T2 maps; de-identify and record acquisition metadata. Produce hierarchical anatomical segmentations at four levels: (a) whole-leg compartment (anterior/posterior/medial), (b) muscle groups (e.g., tibialis anterior group), (c) individual muscles, (d) submuscular ROIs (small clinical lesions). Each segmentation level is a mask stored as an array. 2) Diagnostic model: train a classification model that inputs multi-channel images (PDFF and T2 as separate channels). Options: 3D backbone (3D-ResNet) for volumetric context or 2D backbone (EfficientNet) with slice aggregation. Use transfer learning and augmentation if data are scarce. 3) XAI method menu: implement multiple methods from different families: a) gradient-based: Grad-CAM (produces coarse heatmaps from gradients), Integrated Gradients (accumulates gradients along input paths); b) attribution propagation: LRP/DeepTaylor (redistributes output backward to inputs); c) perturbation-based: occlusion maps (systematic patch removal), RISE (random mask sampling); d) sampling/approximate Shapley: SHAP approximations for local feature importance; e) concept-based: TCAV (tests sensitivity to user-defined concepts); f) counterfactuals: minimal realistic image edits that flip prediction. Explain technical terms inline: PDFF/T2 are quantitative MRI maps showing fat and water-related tissue properties; IoU is intersection-over-union, a measure of overlap between two masks. 4) Hierarchical occlusion: for each level, occlude the unit (mask) with replacement strategies: tissue-matched voxel sampling (sample voxels with similar PDFF/T2 from same tissue class), conditional inpainting (GAN/diffusion trained to inpaint while preserving map statistics), and contralateral/atlas patch sampling. Compute per-occlusion perturbation map as delta in model output. 5) Fidelity metrics: compute AOPC (area over the perturbation curve; measures importance ordering), insertion and deletion scores (how prediction changes when adding/removing high-saliency regions), localization IoU against expert masks, and stability under small input perturbations. 6) Composite fidelity and fusion: normalize each fidelity metric to [0,1] via bootstrap min-max; combine metrics by geometric mean to get composite_fidelity per method and per scan. Convert composites to non-negative convex fusion weights with softmax and include per-scan acquisition confidence multiplier (normalized SNR × B1 reliability). Fuse method maps as weighted sum to produce final ensemble heatmap. 7) Provenance and gating: record acquisitionUID, preprocessing commit hash, segmentation version, model checkpoint hash, random seed, per-method fidelity scores, and fusion weights. Predefine gating thresholds (e.g., composite_fidelity ≥0.7, model AUC ≥0.85, ECE ≤5%) to allow only high-fidelity explanations into reader studies. 8) Viewer and outputs: create viewer that displays ensemble heatmap, optional method toggles, brief one-line explanation summaries, and provenance metadata.</w:t>
      </w:r>
    </w:p>
    <w:p>
      <w:r>
        <w:t xml:space="preserve"> </w:t>
      </w:r>
    </w:p>
    <w:p>
      <w:pPr>
        <w:pStyle w:val="Heading2"/>
      </w:pPr>
      <w:r>
        <w:t>Experiments</w:t>
      </w:r>
    </w:p>
    <w:p>
      <w:r>
        <w:t xml:space="preserve">Datasets: training/validation set: multi-site pooled MRI with target ≥300 labeled cases across distal myopathy subtypes; if unavailable, use transfer learning and augmentation. External test sets: hold out at least two external sites on different vendors (Siemens and Philips/GE) with ≥50 cases/site. Stratify splits by age (&lt;40, 40-60, &gt;60), sex, and disease subtype. Baselines: (B1) single best gradient method (Grad-CAM), (B2) single perturbation method (occlusion/RISE), (B3) unweighted ensemble (equal weights), (B4) ensemble without hierarchical occlusion (single-scale occlusion). Metrics: model-level: AUC, ECE (expected calibration error). Explanation-level: AOPC, insertion, deletion, localization IoU against expert segmentation, pointing game accuracy (whether top pixel falls in ground-truth lesion), stability (correlation under small Gaussian noise), and radiologist-rated interpretability/trust Likert (1-7) and time-to-decision. Experimental setups: 1) Model training: train 3D-ResNet and 2D EfficientNet variants; use nested site-stratified k-fold CV with LOSO for final evaluation. 2) Ablation 1 (XAI menu): compare each XAI method individually against fidelity-weighted ensemble using the same test set; report per-method and ensemble metrics. 3) Ablation 2 (replacement methods): for hierarchical occlusion, run three replacement strategies (tissue-matched sampling, conditional inpainting, contralateral patch) and measure their effect on AOPC, deletion, IoU and PDFF/T2 distribution shifts. 4) Ablation 3 (fusion rules): compare fidelity-weighted fusion, unweighted average, and learned meta-learner (ridge regression) with L1/L2 regularization. 5) Reader study (MRMC): randomized crossover with three conditions per case: (A) baseline read, (B) model prediction only, (C) model prediction + explanation; washout ≥4 weeks between conditions; include misleading-explanation arm on ~10% cases. Use 8-12 expert readers and 120-180 cases (pilot 10-20 cases with 2-3 readers first to set gating thresholds). Primary endpoint: paired change in AUC between conditions B and C. Secondary endpoints: localization IoU, interpretability Likert, time-to-decision. Statistical analyses: Obuchowski-Rockette MRMC for primary outcome, Holm correction for multiplicity. Reproducibility: provide Dockerized pipeline, DVC dataset versioning, and MLflow experiment logs. </w:t>
      </w:r>
    </w:p>
    <w:p>
      <w:r>
        <w:t xml:space="preserve"> </w:t>
      </w:r>
    </w:p>
    <w:p>
      <w:pPr>
        <w:pStyle w:val="Heading2"/>
      </w:pPr>
      <w:r>
        <w:t>Risk Factors And Limitations</w:t>
      </w:r>
    </w:p>
    <w:p>
      <w:r>
        <w:t>1) Replacement artifacts: inpainting or patch replacements may change PDFF/T2 statistics and create misleading attributions. 2) Small sample sizes: distal myopathies are rare; low per-subtype counts may limit model performance and statistical power. 3) Scanner and site heterogeneity: residual uncorrected batch effects can bias both predictions and explanations. 4) Compute cost and latency: perturbation-based XAI and hierarchical occlusion are computationally expensive and may not meet realtime constraints without approximation. 5) Overfitting fusion: learning fusion weights on limited validation data risks overfitting to scanner idiosyncrasies. 6) Reader biases: anchoring from model predictions or misleading explanations can influence radiologist responses. 7) Generalization limits: results may not transfer to different MRI protocols, muscles outside the annotated set, or non-quantitative MR contrasts. 8) Regulatory/privacy: provenance logging increases data management complexity and may raise consent or storage-retention issues. 9) Counterfactual realism: generative counterfactuals may produce implausible anatomy despite automated checks, risking misinterpretation. 10) Evaluation ambiguity: fidelity metrics (AOPC, IoU) do not fully capture clinical usefulness or decisions downstream.</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