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for semi-supervised medical image segmentation under limited annotations</w:t>
      </w:r>
    </w:p>
    <w:p>
      <w:r>
        <w:t xml:space="preserve"> </w:t>
      </w:r>
    </w:p>
    <w:p>
      <w:pPr>
        <w:pStyle w:val="Heading2"/>
      </w:pPr>
      <w:r>
        <w:t>Short Hypothesis</w:t>
      </w:r>
    </w:p>
    <w:p>
      <w:r>
        <w:t>Combining per-voxel temporal EMA-based scale-aware reweighting, 3D Fourier-domain view-variance augmentation, and signed distance map (SDF) regression in a dual-branch mean-teacher network will produce a statistically significant improvement (p &lt; 0.05) in patient-level Dice and a reduction in 95th percentile Hausdorff distance (HD95) on an external hold-out compared to a mean-teacher baseline without these components.</w:t>
      </w:r>
    </w:p>
    <w:p>
      <w:r>
        <w:t xml:space="preserve"> </w:t>
      </w:r>
    </w:p>
    <w:p>
      <w:pPr>
        <w:pStyle w:val="Heading2"/>
      </w:pPr>
      <w:r>
        <w:t>Related Work</w:t>
      </w:r>
    </w:p>
    <w:p>
      <w:r>
        <w:t>Existing methods address medical image segmentation using supervised CNNs, semi-supervised consistency/mean-teacher approaches, multi-scale or scale-aware feature modules, boundary-focused dual-branch networks, geometric supervision via distance maps, and data augmentation strategies. Semi-supervised mean-teacher methods improve performance with unlabeled data but suffer confirmation bias when teacher errors are trusted. Scale-aware modules can adapt feature responses to object size but often lack per-voxel temporal confidence to gate pseudo-labels. Dual-branch architectures improve boundary fidelity but can overfit to noisy labels without geometric constraints. Signed distance map (SDF) regression improves boundary precision but is rarely combined with per-voxel pseudo-label gating in semi-supervised pipelines. Fourier-based intensity/phase augmentations can simulate view variance but risk producing anatomically implausible examples and can corrupt teacher supervision if not gated. Overall gaps: limited safeguards against pseudo-label confirmation bias, insufficient integration of annotation uncertainty with temporal confidence, and weak controls for realism of aggressive frequency-domain augmentations.</w:t>
      </w:r>
    </w:p>
    <w:p>
      <w:r>
        <w:t xml:space="preserve"> </w:t>
      </w:r>
    </w:p>
    <w:p>
      <w:pPr>
        <w:pStyle w:val="Heading2"/>
      </w:pPr>
      <w:r>
        <w:t>Abstract</w:t>
      </w:r>
    </w:p>
    <w:p>
      <w:r>
        <w:t>We present SASNet, a semi-supervised framework for medical image segmentation designed for settings with scarce expert annotations. SASNet uses a dual-branch encoder-decoder that fuses low-level and high-level features and applies three integrated mechanisms: (1) a per-voxel temporal exponential moving average (EMA) confidence accumulator that produces scale-aware adaptive weights to gate pseudo-label supervision; (2) a 3D Fourier-domain view-variance augmentation that perturbs amplitude and phase in controlled frequency bands to simulate realistic annotation/view variability; and (3) multi-scale signed distance map (SDF) regression and gradient alignment losses to improve boundary precision. These components operate in a mean-teacher training loop where pseudo-label and SDF supervision on unlabeled voxels are weighted by temporal confidence and boundary proximity. The main contribution is the unified optimization that enforces spatial, temporal, and geometric consistency, improving boundary accuracy and robustness to limited labels. Expected outcome: higher patient-level Dice, lower HD95, better boundary F1, and improved calibration versus standard semi-supervised baselines.</w:t>
      </w:r>
    </w:p>
    <w:p>
      <w:r>
        <w:t xml:space="preserve"> </w:t>
      </w:r>
    </w:p>
    <w:p>
      <w:pPr>
        <w:pStyle w:val="Heading2"/>
      </w:pPr>
      <w:r>
        <w:t>Methodology</w:t>
      </w:r>
    </w:p>
    <w:p>
      <w:r>
        <w:t>Data and preprocessing: collect multi-site volumes for the target organ and modality. Resample to a common isotropic voxel size (example: 1.0 mm) and apply modality-appropriate intensity normalization (CT: clip to task HU range then z-score; MRI: bias-field correction and per-volume z-score). Split data into labeled L (small fraction), unlabeled U (large), validation (small fully labeled), and external hold-out test. Annotation fusion: if multiple annotators exist, compute probabilistic fusion (e.g., STAPLE) to obtain fused masks and voxel-wise reliability maps. Signed distance map (SDF) targets: compute Euclidean distance transforms d_in and d_out, form SDF_raw = d_in - d_out, truncate to ±R voxels (default R=20), normalize to [−1,1], and store at multi-scale (scales 1.0, 0.5, 0.25). Model architecture: dual-branch encoder-decoder with one branch emphasizing high-resolution low-level features (edges, textures) and the other emphasizing deep semantic features; fuse via cross-scale attention or concatenation followed by fusion blocks. Mean-Teacher loop: maintain a teacher model as EMA of student weights; at each training step compute teacher soft predictions s_t(p) per voxel. Temporal confidence accumulator: for each voxel p maintain C_t(p) = α_t·C_{t-1}(p) + (1−α_t)·s_t(p). Map to weight w_t(p) = clip(C_t(p), ε_low, ε_high). Use α_t schedule: warm-up ramp from 0.75→0.99 over E_warm epochs then hold. Gating rules: hard pseudo-labels when w_t(p)≥τ_hard (default 0.8), soft weighted losses for τ_soft≤w_t(p)&lt;τ_hard (default τ_soft=0.5), skip otherwise. Fourier view-variance augmentation: on 3D patches perform rfftn→modify complex spectrum→irfftn. Partition radial frequencies into low/mid/high bands. Multiply band amplitudes by samples from N(1,σ_band) and add wrapped phase noise U(−δ,δ) on high band; preserve DC. Boundary-focused mode multiplies high-band σ by (1 + α·edge_mask) where edge_mask is derived from SDF magnitude. Reject augmentations if normalized log-PSD distance or volume/COM change exceed thresholds. Losses: supervised segmentation loss L_seg_sup = cross-entropy + soft-Dice on L. SDF regression loss L_sdf_sup = Huber(ŝ,SDF_gt) on L and multi-scale. Consistency loss L_cons_seg = MSE or KL between student and teacher soft logits on paired augmentations. Pseudo losses on U are weighted by w_t(p): L_pseudo_seg (hard/soft) and L_pseudo_sdf (Huber on pseudo-SDFs derived from teacher mask, gated). Add gradient/normal alignment loss L_grad near zero-level set and small Laplacian smoothness L_lap on SDF predictions. Training recipe: patches 128×128×128, AdamW lr=1e-4, weight decay 1e-5, linear warm-up 500 iters then cosine decay, epochs 200, mixed precision AMP, grad-norm clipping. EMA storage: keep per-voxel C_t locally in fp16 or quantized uint8; synchronize summaries periodically. Implementation notes: use batched torch.fft.rfftn/irfftn, precompute radial masks on GPU, store SDF targets as float16, and provide unit tests for FFT invertibility and analytic SDF correctness. Explainers: EMA (exponential moving average) is a running average giving more weight to recent values; SDF is a map of distance to the segmentation boundary (positive inside, negative outside).</w:t>
      </w:r>
    </w:p>
    <w:p>
      <w:r>
        <w:t xml:space="preserve"> </w:t>
      </w:r>
    </w:p>
    <w:p>
      <w:pPr>
        <w:pStyle w:val="Heading2"/>
      </w:pPr>
      <w:r>
        <w:t>Experiments</w:t>
      </w:r>
    </w:p>
    <w:p>
      <w:r>
        <w:t>Primary endpoint: patient-level Dice on external hold-out. Primary test: compare full SASNet to a mean-teacher baseline without scale-aware reweighting, Fourier augmentation, or SDF losses. Datasets: train/val on LiTS (liver CT) or MSD liver subset for CT tasks and BraTS for MRI tasks; use a held-out external multi-site cohort (minimum 80 patients) for primary test. Baselines: (A) supervised-only training on labeled L, (B) standard mean-teacher (no EMA per-voxel accumulator, no SDF, no Fourier), (C) mean-teacher + SDF only, (D) mean-teacher + Fourier only, (E) SASNet ablations: -adaptive_reweighting, -fourier, -sdf. Additional uncertainty baselines: MC-dropout ensemble and small deep ensemble. Metrics: Dice (patient-level), HD95 (mm), boundary-F1 at 1–3 voxel tolerances, SDF-mean-absolute-error (MAE in mm), expected calibration error (ECE), pseudo-label precision/recall, PSD distance and augmentation rejection rate. Experimental setup: use labeled fractions {5%, 10%, 20%} to simulate annotation scarcity; unlabeled pool contains remaining volumes. For each setting run 3 seeds, report mean and 95% bootstrap CI (10k resamples). Training hyperparameters: patch 128^3, batch per GPU 1–2, AdamW lr=1e-4, epochs 200, warm-up E_warm=5–10 epochs for EMA. Ablation study required: focused Fourier vs teacher interaction test: measure teacher-noise by computing per-voxel pseudo-label precision/recall on validation set under three augmentation modes (no-Fourier, Fourier-global, Fourier-boundary-focused) and correlate per-case PSD distance with pseudo-label precision; sweep PSD threshold to obtain ROC for augmentation rejection. Power/sample-size: plan external test cohort N=80 to detect a 2% absolute Dice increase with ~80% power assuming SD≈4% (paired design). Statistical tests: paired Wilcoxon signed-rank for primary comparison, bootstrap CIs, and Benjamini-Hochberg correction for multiple secondary endpoints.</w:t>
      </w:r>
    </w:p>
    <w:p>
      <w:r>
        <w:t xml:space="preserve"> </w:t>
      </w:r>
    </w:p>
    <w:p>
      <w:pPr>
        <w:pStyle w:val="Heading2"/>
      </w:pPr>
      <w:r>
        <w:t>Risk Factors And Limitations</w:t>
      </w:r>
    </w:p>
    <w:p>
      <w:r>
        <w:t>Technical failure modes: confirmation bias where teacher errors are reinforced by pseudo-labels, especially if EMA weights saturate; aggressive Fourier perturbations can produce anatomically implausible examples that corrupt training if rejection thresholds are miscalibrated. Data and evaluation biases: training on limited sites may not generalize to unseen scanners or populations; fused STAPLE labels may hide systematic annotator biases. Scalability/compute limits: full per-voxel EMA maps and multi-scale SDF supervision increase memory and I/O; large 3D FFTs and high-resolution maps require multi-GPU setups and may not be feasible on limited hardware. Quantization risks: compressing EMA maps (uint8) introduces discretization noise that can affect gating near thresholds. Limits to generalization: method tuned for volumetric organ segmentation may not directly transfer to very small or highly irregular structures, or to different imaging physics without modality-specific preprocessing. Evaluation constraints: detecting small but clinically meaningful improvements requires sufficiently large external test sets; subgroup fairness (site, age, disease severity) may be underpowered unless pre-specified and sampled adequately.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