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Motion-robust deep learning for automated image-quality assessment and myocardial segmentation in cardiac cine MRI under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Training multi-task models with controlled k-space respiratory corruptions and annotation uncertainty–aware soft labels yields higher patient-level Dice for myocardial segmentation and higher weighted quadratic kappa for image-quality assessment on an external holdout site than training without motion-aware k-space augmentation and without soft-label uncertainty supervision.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applies deep learning for cardiac cine segmentation, image-quality assessment (IQA), and motion correction. Approaches include image-space augmentations, learned reconstruction or unrolled networks for k-space recovery, and classifiers that predict motion severity. Prior robustness evaluations use stress-test datasets or synthetic augmentations, and some studies model annotator disagreement. Limitations remain: many methods use only image-space augmentations that do not emulate true k-space corruption, reducing realism for motion artifacts; few datasets provide controlled respiratory-motion acquisitions across multiple sites and scanners, limiting cross-site generalization studies; annotation uncertainty is rarely integrated systematically into training (soft labels or heteroscedastic losses are uncommon); IQA labels are often visual and not linked quantitatively to clinical errors (e.g., ejection fraction deviations); and evaluation protocols frequently lack external holdout sites, formalized statistical plans, and compute-normalized comparisons.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robustness of deep-learning cardiac cine analysis to respiratory-motion artifacts by combining a controlled-motion cardiac cine MRI dataset, k-space grounded motion augmentations, uncertainty-aware annotation, and a multi-task modeling and evaluation pipeline. At a high level, we simulate realistic respiratory motion in k-space and in image space, collect multi-site cine data with per-frame confidence labels, and train joint models that predict image-quality severity and myocardial segmentation. Key technical elements are k-space phase-ramp and line-wise corruption presets, soft-consensus probabilistic labels from multiple annotators, and heteroscedastic/soft-Dice losses to teach the model about annotation uncertainty. Evaluation uses patient-level Dice, weighted quadratic kappa for IQA, and clinical endpoints (ejection fraction error distributions) on an external holdout site. The main contributions are: (1) an auditable controlled-motion dataset and k-space augmentation library, (2) uncertainty-aware multi-task baselines, and (3) a pre-registered evaluation and statistical plan. Expected outcome is demonstrable, reproducible improvement in segmentation and IQA robustness under respiratory motion, with metrics tied to clinical impact.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splits: Use a multi-site controlled-motion cine MRI cohort (target N=200–250 across ≥3 centers). Create patient-level train/val/internal-test splits (70/15/15) stratified by site, pathology, and motion severity. Reserve one whole site as external holdout for final evaluation. 2) Motion simulation: Implement deterministic k-space operations: phase ramps to simulate translations, line-wise phase inconsistencies to mimic interleaving errors, coil-sensitivity modulation, amplitude bursts, and through-plane slice shifts. Provide severity presets (mild/moderate/severe) with numeric ranges (e.g., translation 0–5 mm, 5–15 mm, &gt;15 mm). Validate simulations by comparing respiratory power spectral density (PSD), displacement histograms, and mean displacement error against measured navigator/bellows traces. (PSD: power spectral density shows how motion energy spreads over frequency.) 3) Annotation and labels: Collect independent myocardial contours by expert annotators with per-frame confidence on a 0–3 scale (0=unusable..3=high). Produce hard-consensus masks (majority/STAPLE) and soft-consensus maps (pixelwise mean and variance). Mark frames with through-plane ambiguity. 4) Model design: Provide baseline segmentation model (nnU-Net style 2D/2.5D) and a multi-task model with a shared encoder and two heads: segmentation and IQA classifier/regressor. Optionally add temporal module (ConvLSTM) to use frame sequences. 5) Losses and training: Use soft-Dice loss against probabilistic labels, add KL term between predicted probabilities and soft labels, and include heteroscedastic aleatoric term to model label noise (this learns per-pixel uncertainty). Train with curriculum: start on high-confidence frames then gradually include lower-confidence frames with weight w = mean_conf/3. Apply k-space and image-space augmentations during training. 6) Operational reproducibility: release containerized training/inference, fixed seeds, logging of GPU/latency/FLOPs, and deterministic evaluation scripts. Explain technical terms simply: k-space is raw MRI frequency data (not images); phase ramp means multiplying k-space by a complex phase factor to shift the image; heteroscedastic loss models varying label noise by letting the model predict uncertainty per pixel.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Controlled-motion multi-site dataset (N=200–250; ≥3 sites) with one site (≈60–80 patients) held out as external test. Use additional in-vivo navigator traces for motion fidelity calibration. Baselines: (A) nnU-Net trained on reconstructed images without motion augmentation (hard labels); (B) nnU-Net with image-space augmentations only (hard labels); (C) nnU-Net with k-space augmentations (hard labels); (D) Multi-task shared-encoder model (segmentation + IQA) with k-space augmentations and hard labels; (E) Model D with soft-consensus labels + heteroscedastic loss (proposed). Evaluation metrics: patient-level Dice (segmentation), weighted quadratic kappa (IQA), ejection fraction mean absolute error (EF MAE), calibration metrics: expected calibration error (ECE) and NLL, robustness index defined as area under performance vs severity curve (higher is better). Setup: train using AdamW, lr=1e-4, batch size 8, up to 200 epochs with early stopping on val Dice; deterministic seeds; 5-fold cross-validation on training set to estimate variance. Statistical testing: patient-level paired bootstrap with 10,000 resamples for 95% CIs; paired permutation tests for method comparisons; mixed-effects model with random intercepts for patient and site to test method×severity interaction. Ablation study 1: compare C vs B to quantify benefit of k-space vs image-space augmentation. Ablation study 2: compare D vs E to measure impact of soft labels and heteroscedastic loss on Dice, EF MAE, and calibration. Report compute-normalized metrics (Dice per inference-second) and per-subgroup results by vendor and severity bin. Provide example submission schema (NIfTI for seg, CSV for IQA) and automated validator that checks headers, units, dimensions, and patient IDs.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Annotation noise and disagreement: annotator inference of true borders under heavy blur may be inconsistent; soft labels reduce but do not eliminate this risk. 2) Simulation realism gap: k-space corruptions may not capture all real motion couplings (cardiac–respiratory nonlinearities), so models may still fail on unmodeled artifacts. 3) Cross-site bias: despite stratification, models may overfit vendor- or site-specific features, limiting generalization. 4) Privacy and access constraints: raw k-space data carry higher re-identification risk and may be unavailable to external researchers, restricting reproducibility of k-space-based methods. 5) Computational cost: k-space augmentations, temporal models, and Monte Carlo uncertainty propagation increase GPU time and memory needs, limiting participation by resource-constrained teams. 6) Metric sensitivity: clinical mappings (e.g., EF error thresholds) depend on the chosen reference method for EF calculation and may not generalize to all clinical pipelines. 7) Statistical power in small subgroups: subgroup analyses with fewer than ~30 patients will be underpowered and can give unstable estimates. 8) Evaluation failure modes: automatic ED/ES frame selection can be incorrect under severe motion, affecting downstream EF calculations and metric validity.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