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memory_wavelet_net</w:t>
      </w:r>
    </w:p>
    <w:p>
      <w:r>
        <w:t xml:space="preserve"> </w:t>
      </w:r>
    </w:p>
    <w:p>
      <w:pPr>
        <w:pStyle w:val="Heading2"/>
      </w:pPr>
      <w:r>
        <w:t>Title</w:t>
      </w:r>
    </w:p>
    <w:p>
      <w:r>
        <w:t>Memory-bank and wavelet-based network for segmentation of long ultrasound videos</w:t>
      </w:r>
    </w:p>
    <w:p>
      <w:r>
        <w:t xml:space="preserve"> </w:t>
      </w:r>
    </w:p>
    <w:p>
      <w:pPr>
        <w:pStyle w:val="Heading2"/>
      </w:pPr>
      <w:r>
        <w:t>Short Hypothesis</w:t>
      </w:r>
    </w:p>
    <w:p>
      <w:r>
        <w:t>A segmentation network that fuses stationary wavelet-based convolutions with a two-tier memory bank (short circular buffer + compressed long-term bank) will increase per-sequence Dice by at least 0.03 on long ultrasound video segmentation compared to a FLOP-matched baseline without wavelet processing or long-term memory.</w:t>
      </w:r>
    </w:p>
    <w:p>
      <w:r>
        <w:t xml:space="preserve"> </w:t>
      </w:r>
    </w:p>
    <w:p>
      <w:pPr>
        <w:pStyle w:val="Heading2"/>
      </w:pPr>
      <w:r>
        <w:t>Related Work</w:t>
      </w:r>
    </w:p>
    <w:p>
      <w:r>
        <w:t>Prior work uses encoder-decoder segmentation networks (e.g., U-Net variants) and short-term temporal models (ConvLSTM, ConvGRU) for medical video segmentation. Video segmentation research adds attention and memory modules to reuse past frames, but many memory approaches focus on short temporal windows and do not explicitly preserve high-frequency detail. Wavelet-based neural layers have been proposed to capture multi-scale and high-frequency features, but they are rarely combined with temporal memory for long video sequences. Transformer-based video models capture long-range context but can be computationally heavy and may blur fine edges. Limitations in current methods include: loss of high-frequency fine detail important for small objects, inadequate modeling of long-range dependencies over many seconds, limited clinical evaluation across devices and anatomies, and lack of standardized ablations isolating wavelet and memory contributions.</w:t>
      </w:r>
    </w:p>
    <w:p>
      <w:r>
        <w:t xml:space="preserve"> </w:t>
      </w:r>
    </w:p>
    <w:p>
      <w:pPr>
        <w:pStyle w:val="Heading2"/>
      </w:pPr>
      <w:r>
        <w:t>Abstract</w:t>
      </w:r>
    </w:p>
    <w:p>
      <w:r>
        <w:t>Long ultrasound videos contain small, high-frequency anatomical details that are critical for diagnosis but are often lost by standard segmentation models that process frames independently or only use short-term temporal context. We propose a Memory-bank and Wavelet-based Network (MW-Net) that combines learnable wavelet lifting blocks with a two-tier temporal memory bank to preserve high-frequency information and model long-term dependencies. Early encoder stages use stationary (undecimated) learnable wavelets to retain translation-invariant high-frequency features; deeper stages use decimated wavelets for compact context. A short circular buffer stores full multi-scale features for recent frames, while a compressed long-term bank saves representative keys using an autoencoder; retrieval uses approximate nearest neighbors and cross-attention fusion. Decoder paths inject high-frequency residuals to sharpen small-object boundaries. The main contribution is an integrated architecture and training recipe that explicitly preserves spectral detail across long sequences. We expect MW-Net to improve fine-structure segmentation accuracy and temporal stability on long ultrasound videos versus wavelet-free and short-memory baselines.</w:t>
      </w:r>
    </w:p>
    <w:p>
      <w:r>
        <w:t xml:space="preserve"> </w:t>
      </w:r>
    </w:p>
    <w:p>
      <w:pPr>
        <w:pStyle w:val="Heading2"/>
      </w:pPr>
      <w:r>
        <w:t>Methodology</w:t>
      </w:r>
    </w:p>
    <w:p>
      <w:r>
        <w:t>Overview: Build an encoder-decoder segmentation network that integrates wavelet lifting blocks in the encoder and a two-tier memory bank for long-range feature retrieval. Components: 1) Wavelet lifting blocks: implement learnable predict and update filters split into lowpass (LP) and highpass (HP) branches. Initialize filters from analytic wavelet coefficients and allow training. Use stationary (undecimated) wavelet blocks in encoder stages 1–2 to preserve translation-invariant HF detail (stationary means no downsampling so position of detail is preserved). Use decimated biorthogonal wavelets in deeper stages for compact multi-resolution context (decimated means downsampling to reduce size). Expose HP channels to skip connections for decoder injection. 2) Two-tier memory bank: short circular buffer (N=16) stores full multi-scale LP+HP features for recent frames. Long-term bank stores compressed keys per scale using a small autoencoder (AE) with bottleneck (e.g., 128 dims). Keys carry metadata: timestamp, HF_energy (a scalar: ratio of HP energy to total energy), objectness score. 3) Write policy: write to short buffer every frame; write to long bank either periodically (s=4 frames) or when HF_energy exceeds an adaptive threshold based on EMA over a short window (W≈8). Cap writes per clip to avoid explosion. 4) Retrieval and fusion: query FAISS over compressed keys (top-K, K=8), then cross-attend retrieved full-resolution candidates into the bottleneck for LF context and inject HF residuals into decoder skip paths via channel-wise gated attention. 5) Losses and training: composite loss = Dice + focal (class imbalance), boundary-aware loss (BCE on edges), spectral L2 on wavelet coefficients (start weight 0.2), temporal-consistency loss on sequential IoU (weight 0.2), and optional memory-utility contrastive loss (weight 0.1). AE warm-start: pretrain AE for E_warm=5 epochs with backbone stop-grad, then unfreeze with smaller LR. 6) Optimization and curriculum: AdamW lr=1e-4, 5-epoch warmup, cosine decay, mixed precision. Train short clips T=8 then increase to T=32–64. 7) Preprocessing and annotations: standardize resolution (512x512), preserve probe metadata for pixel→mm conversion, use multi-scale pixel masks including small-object labels. Technical term notes: HF_energy means the relative power in high-frequency wavelet bands; FAISS is a library for fast nearest-neighbor search.</w:t>
      </w:r>
    </w:p>
    <w:p>
      <w:r>
        <w:t xml:space="preserve"> </w:t>
      </w:r>
    </w:p>
    <w:p>
      <w:pPr>
        <w:pStyle w:val="Heading2"/>
      </w:pPr>
      <w:r>
        <w:t>Experiments</w:t>
      </w:r>
    </w:p>
    <w:p>
      <w:r>
        <w:t>Datasets: composite benchmark combining public long-video sets (LVOS, DiDi) plus in-house long sequences from fetal, carotid artery, and musculoskeletal ultrasound. Require ≥30 long sequences per device/anatomy, frame rates ≥25 fps. Splits: time-aware train/val/test with institution/device hold-out and a multi-expert gold subset. Baselines: 1) standard U-Net (frame-wise); 2) U-Net + ConvGRU (short-term temporal); 3) transformer-based video segmentation baseline with long-range attention; 4) attention-only memory-bank (no HF injection); 5) FLOP-matched wavelet-less backbone. Metrics: primary per-sequence Dice with 95% bootstrap CI; secondary IoU, Boundary F1 @ {1,3,5 px}, HD95 in mm, small-object IoU/F1 (area thresholds in mm^2 and % frame), temporal IoU mean and variance, spectral HF-energy retention ratio, expected calibration error (ECE) for uncertainty. Setup: input 512×512, mixed precision, AdamW lr=1e-4, batch=1 sequence training with clip lengths T increasing as curriculum. Repeats: 10 independent seeded runs per variant; increase to 30 for final selected models. Ablations: (A) wavelet on vs off; (B) stationary vs decimated in early stages; (C) learnable vs analytic lifting; (D) memory off vs short-only (N=16) vs full two-tier (long_cap=1024/scale); (E) spectral loss on/off; (F) AE bottleneck {64,128} and retrieval K {4,8,16}. HF trigger sensitivity: grid over EMA windows W∈{4,8,16}, threshold multipliers m∈{1.0,1.5,2.0}, min write interval s∈{2,4,8}; evaluate write rate, memory usage, and segmentation delta. Statistical tests: paired Wilcoxon signed-rank or paired bootstrap on per-sequence Dice, control multiple comparisons with Benjamini–Hochberg, report effect sizes and 95% CIs. Report FLOPs, parameter counts, peak GPU memory, and per-frame latency (short-only and full configs) on target GPUs.</w:t>
      </w:r>
    </w:p>
    <w:p>
      <w:r>
        <w:t xml:space="preserve"> </w:t>
      </w:r>
    </w:p>
    <w:p>
      <w:pPr>
        <w:pStyle w:val="Heading2"/>
      </w:pPr>
      <w:r>
        <w:t>Risk Factors And Limitations</w:t>
      </w:r>
    </w:p>
    <w:p>
      <w:r>
        <w:t>Data and annotation biases: limited device diversity or inconsistent small-object labels may bias results. HF trigger sensitivity: HF_energy thresholds, EMA windows, and write caps may require tuning and may not generalize across anatomies. AE failure modes: poor AE reconstruction can harm retrieval quality; fallback PQ quantization may reduce HF fidelity. Compute and memory: storing full multi-scale features and retrieval cross-attention increases GPU memory and latency; full two-tier memory may be infeasible on low-memory edge devices. Scalability: large long-video datasets increase storage and profiling costs. Generalization: models trained on particular probe settings may not generalize to unseen devices without calibration. Clinical limits: segmentation improvements in metrics may not directly translate to clinical utility without reader studies. Explainability limits: fused wavelet/memory features may be harder to interpret for clinicians. Statistical limits: per-anatomy variance and intra-cluster correlations may reduce power; planned sample sizes may need adjustment.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