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lctfound_latent_diffusion_multimodal</w:t>
      </w:r>
    </w:p>
    <w:p>
      <w:r>
        <w:t xml:space="preserve"> </w:t>
      </w:r>
    </w:p>
    <w:p>
      <w:pPr>
        <w:pStyle w:val="Heading2"/>
      </w:pPr>
      <w:r>
        <w:t>Title</w:t>
      </w:r>
    </w:p>
    <w:p>
      <w:r>
        <w:t>Latent diffusion pretraining with multimodal clinical–image encoding for improving lung CT imaging tasks</w:t>
      </w:r>
    </w:p>
    <w:p>
      <w:r>
        <w:t xml:space="preserve"> </w:t>
      </w:r>
    </w:p>
    <w:p>
      <w:pPr>
        <w:pStyle w:val="Heading2"/>
      </w:pPr>
      <w:r>
        <w:t>Short Hypothesis</w:t>
      </w:r>
    </w:p>
    <w:p>
      <w:r>
        <w:t>Pretraining a latent diffusion model on a large, multi‑center lung CT corpus with joint clinical metadata encoding causes at least a 0.03 absolute improvement in Dice for segmentation of nodules ≥6 mm (versus the same architecture trained from scratch) when downstream adapters are fine‑tuned on task labels.</w:t>
      </w:r>
    </w:p>
    <w:p>
      <w:r>
        <w:t xml:space="preserve"> </w:t>
      </w:r>
    </w:p>
    <w:p>
      <w:pPr>
        <w:pStyle w:val="Heading2"/>
      </w:pPr>
      <w:r>
        <w:t>Related Work</w:t>
      </w:r>
    </w:p>
    <w:p>
      <w:r>
        <w:t>Prior work includes supervised deep networks for CT tasks (U‑Nets, 3D ResNets) and learned reconstruction methods that map projection or low‑dose inputs to images. Self‑supervised and foundation approaches have shown that large pretraining improves transfer, using contrastive or masked reconstruction losses. Generative diffusion models have recently been applied in medical imaging for synthesis and denoising, and variational autoencoders (VAEs) have been used to compress 3D volumes to latent spaces. Multimodal models that combine images and clinical data (via concatenation or attention) have improved diagnosis and prognosis in limited settings. Limitations: (1) Many methods require large labeled sets and do not scale across centers or vendors; (2) generative models often lack HU fidelity needed for clinical use; (3) projection/sinogram consistency is rarely enforced, increasing hallucination risk; (4) most prior pipelines omit explicit privacy accounting and DP utility curves; (5) multimodal conditioning strategies are not standardized, harming reproducibility.</w:t>
      </w:r>
    </w:p>
    <w:p>
      <w:r>
        <w:t xml:space="preserve"> </w:t>
      </w:r>
    </w:p>
    <w:p>
      <w:pPr>
        <w:pStyle w:val="Heading2"/>
      </w:pPr>
      <w:r>
        <w:t>Abstract</w:t>
      </w:r>
    </w:p>
    <w:p>
      <w:r>
        <w:t>We present a reproducible approach to build a lung CT vision foundation model by combining latent variational compression and diffusion‑based self‑supervised pretraining with joint clinical–image encoding. The model is pretrained on a large, curated multi‑center corpus and is designed to serve multiple downstream CT tasks via lightweight adapter fine‑tuning. Key technical elements include a 3D VAE to form a compact latent space, latent diffusion with classifier‑free guidance for robust generative representations, ROI‑weighted HU reconstruction losses to preserve clinical attenuation values, projection‑domain consistency to limit hallucinations, and cross‑attention conditioning for clinical metadata. We expect a single pretrained model to improve segmentation, reconstruction, virtual CTA, and diagnostic/prognostic tasks compared to models trained from scratch, while enabling DP and membership‑inference evaluations to balance privacy and utility. The main contribution is a practical, testable recipe for a multimodal lung CT foundation model that emphasizes HU fidelity, cross‑center robustness, and reproducible release of adapters.</w:t>
      </w:r>
    </w:p>
    <w:p>
      <w:r>
        <w:t xml:space="preserve"> </w:t>
      </w:r>
    </w:p>
    <w:p>
      <w:pPr>
        <w:pStyle w:val="Heading2"/>
      </w:pPr>
      <w:r>
        <w:t>Methodology</w:t>
      </w:r>
    </w:p>
    <w:p>
      <w:r>
        <w:t>1) Data curation: assemble LungCT‑28M from 3 pilot centers for training and reserve 2 external centers as locked held‑out tests. Store image series, available projection/sinogram data when present, and harmonized clinical metadata (age, sex, smoking, spirometry, comorbidities). 2) VAE latent encoder: train a 3D residual U‑Net VAE that down-samples volumes by either 1/4 or 1/8 spatially; evaluate latent channel sizes {64,128,256}. The VAE uses a weighted L1 loss in Hounsfield Units (HU) and KL annealing. (VAE: a model that compresses images into a smaller set of numbers called latents; KL term encourages a smooth latent space.) 3) Latent diffusion pretraining: train a latent diffusion model that adds noise to VAE latents and learns to denoise across T=1,000 timesteps using a linear beta schedule; use L2 noise prediction loss in latent space plus back-propagated image‑space HU calibration loss. Use classifier‑free guidance (a method to control generation without separate classifier) during sampling. 4) Multimodal conditioning: encode clinical metadata via a small transformer and inject via cross‑attention to the diffusion U‑Net and via FiLM (feature‑wise linear modulation) layers to correct low‑level domain shifts. (Cross‑attention lets the model focus on metadata tokens; FiLM rescales feature maps.) 5) Losses and calibration: add ROI‑weighted HU consistency (vessel &amp; mediastinum weight ×3), vessel‑window perceptual/gradient loss for sharpness, and optional differentiable projection‑domain L2 loss (use forward/backprojector) to enforce sinogram consistency. 6) Hallucination detection: compute normalized sinogram RMSE, ROI HU MAE, and predictive variance from deep ensembles (N=5) + diffusion predictive variance; set abstention if flags exceed thresholds. 7) Adapter fine‑tuning: attach small task adapters (few‑layer conv heads or light transformer blocks) and fine‑tune on labeled tasks with low learning rate; keep main weights frozen or with low-rate adapters. 8) Privacy experiments: run DP‑SGD sweeps (epsilon ∈ {0.5,1,3,8}, delta=1e‑6) at site or global level, track utility vs privacy. 9) Checkpointing and reproducibility: log hyperparameters, random seeds, containerize training, and publish adapter checkpoints under permissive license while keeping full generative checkpoints access‑controlled.</w:t>
      </w:r>
    </w:p>
    <w:p>
      <w:r>
        <w:t xml:space="preserve"> </w:t>
      </w:r>
    </w:p>
    <w:p>
      <w:pPr>
        <w:pStyle w:val="Heading2"/>
      </w:pPr>
      <w:r>
        <w:t>Experiments</w:t>
      </w:r>
    </w:p>
    <w:p>
      <w:r>
        <w:t>Dataset splits: training = pooled data from 3 pilot centers (~80% of labeled examples), validation = remaining 20% from pilots, external test = 2 locked centers. Use LungCT‑28M unlabeled corpus for pretraining. Tasks and baselines: (A) Nodule segmentation (≥6 mm): baseline 1 = same UNet architecture trained from scratch; baseline 2 = nnU‑Net; baseline 3 = contrastive pretraining then fine‑tune. Metric: Dice, sensitivity at ≥6 mm, report mean ± 95% CI. (B) Sparse‑view reconstruction and HU fidelity: baselines = vendor iterative reconstructor and learned reconstructor trained supervised; metrics: ROI HU MAE (vessel, parenchyma, mediastinum), normalized sinogram RMSE. (C) Diagnostic classification (e.g., malignancy risk): baseline = 3D ResNet trained from scratch; metric: AUROC, ECE. (D) Prognosis (time‑to‑event): baseline = clinical model + imaging features; metric: concordance index (C‑index). Pretraining ablations: (1) no multimodal metadata conditioning, (2) no projection‑domain consistency loss, (3) VAE downsample 1/4 vs 1/8, (4) latent channels 64/128/256. Privacy ablation: train adapters with DP‑SGD at epsilons {0.5,1,3,8} and compare primary metrics to non‑DP baseline; acceptance if ≤0.02 absolute degradation for public adapters. Hallucination test: measure fraction of flagged scans on pilot set; report FPR/FNR of sinogram RMSE detector at threshold 0.02. Training details: VAE training budget 100 GPU‑days (pilot), latent diffusion 200–400 GPU‑days; optimizer AdamW, base lr 1e‑4 for pretraining, batch size 4–16 depending on GPU memory, EMA of weights every 2k steps, full checkpoints per epoch. Statistical tests: DeLong for AUROC, bootstrap (1,000 resamples) for Dice/C‑index CIs, report p‑values two‑sided α=0.05 with multiple comparison correction for primary endpoints. Final evaluation: report per‑vendor, per‑dose, and subgroup metrics.</w:t>
      </w:r>
    </w:p>
    <w:p>
      <w:r>
        <w:t xml:space="preserve"> </w:t>
      </w:r>
    </w:p>
    <w:p>
      <w:pPr>
        <w:pStyle w:val="Heading2"/>
      </w:pPr>
      <w:r>
        <w:t>Risk Factors And Limitations</w:t>
      </w:r>
    </w:p>
    <w:p>
      <w:r>
        <w:t>1) Projection/sinogram availability: many sites do not provide raw projection data; experiments that need sinograms may be limited or rely on emulated projections. 2) Compute and scalability: latent diffusion pretraining is compute‑intensive (thousands of GPU‑days at full scale), limiting reproducibility for resource‑constrained teams. 3) Privacy vs utility: strong DP (low epsilon) may degrade downstream performance beyond acceptance thresholds. 4) HU fidelity limits: despite HU losses, generative models can still introduce clinically meaningful attenuation errors in small ROIs (vessels, lesions). 5) Hallucinations and OOD inputs: model may hallucinate anatomy under extreme sparse views, motion artifacts, or unseen vendor protocols. 6) Label noise and annotation variability: clinical labels and segmentations have inter‑rater variability that can reduce measurable gains. 7) Dataset bias and generalization: demographic, vendor, and protocol imbalances may limit performance on underrepresented subgroups. 8) Regulatory and access constraints: full generative checkpoints may require controlled access, complicating external replication and audit. 9) Evaluation dependence on held‑out centers: results may be sensitive to choice of held‑out centers and their available metadata. 10) Statistical assumptions: sample size calculations assume effect sizes and variances that may differ in practice, affecting power.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