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remote_personalized_nutrition_rct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fully remote randomized controlled trial evaluating self-collected anthropometrics and personalized nutrition with optional personalized food boxes in adults with overweight or obesity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Adults with overweight or obesity randomized to receive fully remote personalized nutrition advice will have a greater percent body weight reduction at 12 weeks than those receiving generic advice, and receiving an additional personalized food box will yield further incremental percent weight loss.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remote nutrition and weight-loss interventions shows that digital delivery of dietary advice and behavioral support can produce modest improvements in weight and diet. Studies have used self-reported or clinic-measured anthropometrics; a smaller set evaluated self-collected measurements but often lacked robust calibration. Existing trials rarely combine (1) fully digital recruitment and measurement, (2) systematic supervised validation of self-measures, and (3) a prespecified incremental test of structured food-boxes. Limitations in prior methods include measurement error from uncalibrated consumer devices, small or unrepresentative samples, limited adjustment for self-measurement bias, sparse missing-data sensitivity analysis, and unclear incremental effects of provisioning food. Automated image-based QC has been proposed but validation across diverse lighting and skin tones is incomplete. Overall, gaps remain in reproducible pipelines that integrate remote measurement-validation, measurement-error correction, and rigorous randomized contrasts including a food-box co-intervention.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whether a fully remote, digital randomized controlled trial (RCT) can deliver personalized nutrition and reliable self-collected anthropometrics to detect short-term weight change in adults with overweight or obesity. We propose a three-arm, fully online RCT comparing generic advice, personalized digital nutrition, and personalized nutrition plus personalized food boxes. All participants receive standardized scales and tapes; a validation subset completes supervised remote paired measures to estimate measurement bias and reliability. The primary outcome is percent body weight change at 12 weeks analyzed under a treatment-policy intention-to-treat estimand using mixed models for repeated measures with pre-specified covariates and Dunnett multiplicity control. Measurement-error will be quantified and adjusted using regression-calibration and SIMEX; platform QC and WebRTC supervision will reduce implausible values. Main contributions are (1) operational demonstration of a reproducible remote pipeline for self-measurement and calibration, (2) an RCT estimate of personalized advice versus generic advice, and (3) an incremental test of food-box provisioning. Expected outcomes include feasibility metrics, calibrated effect-size estimates, and operational templates for remote nutrition trials.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Design: three-arm, parallel, 1:1:1 randomized controlled trial fully online. Arms: (A) generic nutrition advice delivered digitally; (B) personalized nutrition delivered digitally; (C) personalized nutrition plus weekly personalized food box. Eligibility: adults with BMI ≥25 kg/m2 meeting remote safety rules. Enrollment quotas ensure demographic diversity. Devices: provide standardized digital scales (0.1 kg resolution) and non-stretch tapes; record serial numbers. Randomization: centralized, stratified by sex and baseline BMI category with permuted blocks. Measurements: participants submit weight and waist/hip twice per session and repeat on a second day within 7 days; morning preferred. Validation: a supervised WebRTC subset (pilot n≈30; main n≈90 paired measures) collects observer-measured and self-measured pairs. Personalization algorithm: estimate energy needs via Mifflin–St Jeor + activity factor, target ~500 kcal/day deficit (safety floors), protein goal 1.2–1.6 g/kg ideal body weight, prioritized behavior goals, tailored meal templates. Food-box rules: match kcal ±10% and protein ±10% to participant targets; label allergens. QC: automated numeric thresholds (duplicate diff &gt;0.5 kg or &gt;1.0 cm; weight change &gt;1.5 kg/week or &gt;5% over 2 weeks) trigger re-measure prompts and optional supervised sessions. Analysis: primary estimand is treatment-policy ITT for percent weight change at 12 weeks; primary model is mixed model for repeated measures (MMRM) with fixed effects for arm, time, arm×time, baseline weight, sex, age, baseline BMI category, site/region, baseline digital literacy, and random intercept for participant. Measurement-error calibration: estimate bias and ICC from validation pairs and apply regression-calibration; if heteroscedasticity is present, apply SIMEX (simulation extrapolation) or Bayesian measurement-error mixed models. Missing data: multiple imputation (MICE) under MAR with pre-specified MNAR sensitivity via pattern-mixture delta adjustments. Multiplicity: Dunnett correction for two primary contrasts. Outcomes of interest: percent weight change (primary), absolute kg change, proportion achieving ≥3% and ≥5% weight loss, measurement completeness, ICC, participant satisfaction.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dataset (N≈30–36 across arms) for feasibility and blinded pooled SD; main trial dataset (N≈300; ≈100 per arm); validation paired-measure datasets (pilot n≈30 pairs; main n≈90 pairs). Baselines: generic advice (control); personalized advice; personalized advice + food-box. Ablation/comparisons: (1) Personalized vs Generic (primary); (2) Personalized+Box vs Personalized (incremental food-box effect); (3) Calibration ablation: analyze primary outcome with unadjusted self-measures versus regression-calibrated measures to quantify measurement-error impact. Evaluation metrics: primary metric mean percent body weight change at 12 weeks with 95% CI; secondary metrics include absolute kg change, proportions achieving ≥3% and ≥5% loss, measurement completeness (% of scheduled measures submitted), ICC and mean bias from validation pairs, RMSE of self vs observer, participant satisfaction (mean Likert score), and CV QC confusion-matrix metrics (sensitivity, specificity, PPV, NPV). Statistical analysis: ITT MMRM including pre-specified covariates; Dunnett familywise error control for two contrasts, two-sided alpha=0.05. Missing-data handling: MICE primary, pattern-mixture delta-adjusted MNAR sensitivity with pre-specified delta ranges derived from pilot; tipping-point analysis. Sample-size: pilot N≈30–36 for logistics and variance estimation; main trial initial planning n≈300 (≈100/arm) based on MCID=3% relative weight change and assumed SD=4.0 kg, with blinded re-estimation using pilot pooled SD. Validation analyses: estimate bias (mean difference), ICC with bootstrap 95% CI; test for differential error by arm with interaction terms; if significant, fit arm-specific calibration equations. Reporting: present unadjusted and calibrated primary estimates side-by-side; report per-protocol analyses defined by pre-specified adherence thresholds (e.g., ≥80% scheduled measurements completed).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error: consumer scales and home tapes can produce biased or variable measures; differential error across arms or subgroups may bias effect estimates. Validation may be underpowered if fewer supervised pairs collected. Selection bias: participants willing to enroll in a remote trial and accept device loans may not represent the general population with overweight/obesity. Attrition: high dropout or missingness can reduce power and complicate inference; MNAR mechanisms may remain. Device and logistics failures: lost or malfunctioning scales, delayed food-box deliveries, or slow replacement can affect adherence and data completeness. CV model bias: automated image-based QC may perform worse across lighting conditions and skin tones, yielding unequal QC errors. Privacy and legal constraints: cross-border storage rules and varying retention laws can restrict centralized analysis or delay pipelines. Food-box confounding: delivery quality, acceptability or substitutions may introduce heterogeneity in the intervention effect. Generalizability: results apply to adults capable of self-measurement and remote participation and may not extend to populations with limited internet access or severe comorbidity. Computational limits: Bayesian calibration and SIMEX can be compute-intensive when propagating uncertainty for large bootstrap samples.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