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gbs_chromogenic_spectroscopy_poct</w:t>
      </w:r>
    </w:p>
    <w:p>
      <w:r>
        <w:t xml:space="preserve"> </w:t>
      </w:r>
    </w:p>
    <w:p>
      <w:pPr>
        <w:pStyle w:val="Heading2"/>
      </w:pPr>
      <w:r>
        <w:t>Title</w:t>
      </w:r>
    </w:p>
    <w:p>
      <w:r>
        <w:t>Quantitative point-of-care detection of Group B Streptococcus using chromogenic culture pigment measured by specific absorption spectroscopy</w:t>
      </w:r>
    </w:p>
    <w:p>
      <w:r>
        <w:t xml:space="preserve"> </w:t>
      </w:r>
    </w:p>
    <w:p>
      <w:pPr>
        <w:pStyle w:val="Heading2"/>
      </w:pPr>
      <w:r>
        <w:t>Short Hypothesis</w:t>
      </w:r>
    </w:p>
    <w:p>
      <w:r>
        <w:t>Normalized absorbance of chromogenic culture pigment measured by specific absorption spectroscopy after ≤6 hours of short enrichment is positively correlated with log10(CFU) of Group B Streptococcus and enables classification of colonization using thresholds at 10^2 and 10^4 CFU-equivalents.</w:t>
      </w:r>
    </w:p>
    <w:p>
      <w:r>
        <w:t xml:space="preserve"> </w:t>
      </w:r>
    </w:p>
    <w:p>
      <w:pPr>
        <w:pStyle w:val="Heading2"/>
      </w:pPr>
      <w:r>
        <w:t>Related Work</w:t>
      </w:r>
    </w:p>
    <w:p>
      <w:r>
        <w:t>Standard GBS screening uses culture (overnight) or nucleic acid amplification tests (NAAT) for faster results; both are established but either slow (culture) or require molecular lab resources (NAAT). Chromogenic culture media give visible colored colonies linked to pigment production (granadaene) and have been used for visual identification, but visual reads are subjective and variable by strain pigment intensity. Recent exploratory work combining chromogenic media with spectroscopic absorbance measurement shows promise for quantitation and faster readouts, but prior studies report limitations: inter-strain pigment variability, mixed-species interference, lack of robust on-device normalization, limited calibration across lots, and insufficient clinical linkage of quantitative pigment levels to neonatal risk. Existing POCTs rarely provide calibrated CFU-equivalents with documented drift control, per-lot transfer methods, or regulatory-ready QC materials.</w:t>
      </w:r>
    </w:p>
    <w:p>
      <w:r>
        <w:t xml:space="preserve"> </w:t>
      </w:r>
    </w:p>
    <w:p>
      <w:pPr>
        <w:pStyle w:val="Heading2"/>
      </w:pPr>
      <w:r>
        <w:t>Abstract</w:t>
      </w:r>
    </w:p>
    <w:p>
      <w:r>
        <w:t>Group B Streptococcus (GBS) colonization in pregnant women guides intrapartum antibiotic prophylaxis to prevent neonatal early-onset disease. Current point-of-care options are limited by slow culture or need for molecular labs. We propose a quantitative POCT that converts pigment produced on chromogenic media into electrical signals via specific absorption spectroscopy and computes CFU-equivalents after short enrichment. The device measures normalized absorbance (primary and reference wavelengths plus an on-cartridge printed dye patch) and maps signal to log10(CFU)-equivalents using a hierarchical calibration model. Main contributions are: (1) a validated short-enrichment workflow (≤6 h) with spectroscopic readout, (2) per-lot normalization and non-biological QC controls, and (3) a statistical calibration that reports CFU-equivalents and uncertainty bands and defines actionable decision bands (negative, gray, positive). Expected outcomes include rapid, quantitative GBS screening suitable for antenatal or near-intrapartum workflows and data to link quantitative colonization to clinical decision thresholds.</w:t>
      </w:r>
    </w:p>
    <w:p>
      <w:r>
        <w:t xml:space="preserve"> </w:t>
      </w:r>
    </w:p>
    <w:p>
      <w:pPr>
        <w:pStyle w:val="Heading2"/>
      </w:pPr>
      <w:r>
        <w:t>Methodology</w:t>
      </w:r>
    </w:p>
    <w:p>
      <w:r>
        <w:t>1) Sample and strains: collect 40–60 clinical GBS isolates stratified by pigment phenotype (hyper, typical, hypo, non-pigmented) and a mixed-species interference panel of common vaginal/rectal microbes. 2) Enrichment: test short enrichment in LIM and modified Todd-Hewitt broth using 2–3 ml per swab at 37°C with gentle mixing and sample at 2, 4, and 6 hours. (Enrichment = brief bacterial growth step to raise signal.) 3) Cartridge and optics: mount chromogenic agar on single-use cartridge with a printed dye patch (a stable color reference). Use a sealed matte-black chamber, a narrow-band primary LED at the pigment peak and a reference LED at a non-absorbed wavelength. 4) Detection electronics: use a silicon photodiode, guarded transimpedance amplifier and high-resolution ADC; drive LEDs with pulsed synchronous timing to reject ambient light. 5) Signal processing: perform dark subtraction, LED-current normalization (measure LED drive current), reference LED correction, and printed-patch normalization. Compute absorbance A = -log10(Isample_norm/Iref_norm). 6) Calibration: collect serial dilutions with plated CFU to fit a hierarchical (mixed-effects or Bayesian) regression mapping absorbance and timepoint to log10(CFU)-equivalents with random effects for strain, lot, and instrument. 7) QC and controls: develop two non-biological controls: a printed dye patch and an extracted/inactivated pigment surrogate matched spectrally within ±5 nm; validate stability and non-viability. 8) Software and data: version-control models, store raw signals and metadata, and produce audit logs (change history = traceable record).</w:t>
      </w:r>
    </w:p>
    <w:p>
      <w:r>
        <w:t xml:space="preserve"> </w:t>
      </w:r>
    </w:p>
    <w:p>
      <w:pPr>
        <w:pStyle w:val="Heading2"/>
      </w:pPr>
      <w:r>
        <w:t>Experiments</w:t>
      </w:r>
    </w:p>
    <w:p>
      <w:r>
        <w:t>Datasets: (A) Laboratory panel: 40–60 GBS isolates with serial dilutions 10^1–10^7 CFU/ml plated and read at 0,2,4,6,8 h across ≥3 cartridge lots and ≥3 instruments; include 6–10 technical replicates per concentration. (B) Mixed-species interference: GBS at 10^2–10^5 CFU with commensals at 0.1×,1×,10×,100×. (C) Clinical set: prospective multi-site cohort of n=300–400 pregnant women at 35–37 weeks with paired samples for POCT, standard culture, and NAAT. Baselines: gold-standard culture and NAAT; visual chromogenic read as secondary baseline. Evaluation metrics: sensitivity, specificity, positive/negative predictive value, ROC AUC, LOD (blank-based method), LOQ (lowest conc. with CV ≤20%), absorbance precision (AU SD and CV), SNR at LOQ, bias and limits of agreement (Bland–Altman) vs plated CFU, decision-boundary misclassification rates. Experimental setup: compare enrichment times (2 vs 4 vs 6 h), normalization strategies (no normalization, LED-current only, printed-patch only, dual normalization), and wavelength approaches (single-wavelength vs dual-wavelength). Ablation studies: (1) remove printed dye patch to quantify impact on inter-lot CV; (2) use only reference LED vs both reference and printed patch; (3) compare hierarchical vs simple linear calibration. Statistical analysis: mixed-effects regression with random intercepts/slopes for strain and lot; nested cross-validation (leave-one-lot-out) and holdout clinical validation. Report per-condition LOD/LOQ, ROC curves at clinical thresholds (10^2 and 10^4 CFU-equivalents), and error rates for each normalization and enrichment variant.</w:t>
      </w:r>
    </w:p>
    <w:p>
      <w:r>
        <w:t xml:space="preserve"> </w:t>
      </w:r>
    </w:p>
    <w:p>
      <w:pPr>
        <w:pStyle w:val="Heading2"/>
      </w:pPr>
      <w:r>
        <w:t>Risk Factors And Limitations</w:t>
      </w:r>
    </w:p>
    <w:p>
      <w:r>
        <w:t>Technical failure modes: low pigment production in hypo/non-pigmented strains causing false negatives; LED or detector drift causing biased absorbance; stray ambient light infiltration reducing SNR. Data/evaluation biases: strain panel may not capture geographic or clonal diversity; clinical cohort prevalence may vary, affecting predictive values. Mixed-flora limitations: overgrowth by commensals can mask GBS pigment or alter kinetics, leading to false negatives or positives. Scalability and manufacturability: tight agar thickness tolerances and consistent printed dye placement may be difficult at scale; cartridge materials must be compatible with QC chemistries. Time-to-result limits: ≤6 h enrichment may not suit true intrapartum decisions where ≤90 minutes is needed. Biosafety limits: extracted pigment controls require validated inactivation and solvent residue control; sealed-cartridge mechanisms add mechanical complexity. Generalization limits: calibration models trained on selected strains, lots, and instruments may not transfer to new geographies, new cartridge lots, or extreme environmental conditions (temperature, humidity, lighting) without retraining or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