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tin_provenance_sa</w:t>
      </w:r>
    </w:p>
    <w:p>
      <w:r>
        <w:t xml:space="preserve"> </w:t>
      </w:r>
    </w:p>
    <w:p>
      <w:pPr>
        <w:pStyle w:val="Heading2"/>
      </w:pPr>
      <w:r>
        <w:t>Title</w:t>
      </w:r>
    </w:p>
    <w:p>
      <w:r>
        <w:t>Integrating lead and tin isotope analyses with trace-element chemistry to identify geographic sources of tin in southern African bronzes, ca. 1200–1800 CE</w:t>
      </w:r>
    </w:p>
    <w:p>
      <w:r>
        <w:t xml:space="preserve"> </w:t>
      </w:r>
    </w:p>
    <w:p>
      <w:pPr>
        <w:pStyle w:val="Heading2"/>
      </w:pPr>
      <w:r>
        <w:t>Short Hypothesis</w:t>
      </w:r>
    </w:p>
    <w:p>
      <w:r>
        <w:t>When reference ore and processed-tin populations include the true source, jointly modelling lead isotope ratios, tin isotope ratios, and trace-element signatures will assign the tin in southern African bronzes to the correct geographic source with posterior probability &gt;= 0.90 more often than random assignment.</w:t>
      </w:r>
    </w:p>
    <w:p>
      <w:r>
        <w:t xml:space="preserve"> </w:t>
      </w:r>
    </w:p>
    <w:p>
      <w:pPr>
        <w:pStyle w:val="Heading2"/>
      </w:pPr>
      <w:r>
        <w:t>Related Work</w:t>
      </w:r>
    </w:p>
    <w:p>
      <w:r>
        <w:t>Provenance studies have used single-proxy approaches (lead isotopes or trace elements) and emerging single-laboratory tin isotope work. Recent multi-proxy attempts combine two or more datasets to improve discrimination. Limitations remain: reference databases are incomplete for southern Africa; lead in artifacts can be secondary (from added lead or recycling) and confounds attribution; many studies aggregate spot measurements without propagating spot-level uncertainty; low-mass or low-count samples have ad-hoc uncertainty treatments; and many models use deterministic or simple mixing rules rather than a probabilistic framework that accounts for analytical, within-object, and source variance jointly. Inter-lab reproducibility and standardized QC thresholds are often insufficiently reported, reducing confidence in cross-study comparisons.</w:t>
      </w:r>
    </w:p>
    <w:p>
      <w:r>
        <w:t xml:space="preserve"> </w:t>
      </w:r>
    </w:p>
    <w:p>
      <w:pPr>
        <w:pStyle w:val="Heading2"/>
      </w:pPr>
      <w:r>
        <w:t>Abstract</w:t>
      </w:r>
    </w:p>
    <w:p>
      <w:r>
        <w:t>This study addresses the problem of identifying geographic sources of tin used in southern African bronzes dated 1200–1800 CE by integrating lead isotopes, tin isotopes, and trace-element chemistry into a single probabilistic framework. We propose to generate a tiered reference database of ore and processed-tin samples, perform controlled smelting experiments to quantify tin isotope fractionation during processing, and measure 153 archaeological bronzes with coordinated LA and solution analyses. The main contribution is a hierarchical Bayesian mixture model that jointly represents analytical error, within-object heterogeneity, and source population variance, and that includes an explicit additive lead term for secondary Pb. Expected outcomes are reproducible source probability estimates per object, quantified uncertainty for low-mass or heterogeneous items, and a public data and code package enabling reproducible provenance inference for archaeometallurgy.</w:t>
      </w:r>
    </w:p>
    <w:p>
      <w:r>
        <w:t xml:space="preserve"> </w:t>
      </w:r>
    </w:p>
    <w:p>
      <w:pPr>
        <w:pStyle w:val="Heading2"/>
      </w:pPr>
      <w:r>
        <w:t>Methodology</w:t>
      </w:r>
    </w:p>
    <w:p>
      <w:r>
        <w:t>1) Reference sampling: build a tiered reference set (Tier 1 southern African deposits e.g. Rooiberg and named localities, Tier 2 regional African fields, Tier 3 long-distance historic sources). For each sampled deposit collect 8–15 ores (Tier 1) or 6–12 ores (Tier 2/3) and record GPS, lithology, and mining context. 2) Laboratory analyses: prepare polished cross-sections and run LA-ICP-MS mapping (50–100 µm spots) to flag heterogeneity, then dissolve 30–50 mg homogenized aliquots for solution ICP-MS and MC-ICP-MS. Measure Pb isotope ratios (e.g. 206/204, 207/204), Sn isotope ratios (expressed as delta or mu notation), and a suite of trace elements (Ag, Sb, Bi, In, Ni, Co, Zn, REEs). Explain: isotopes are versions of the same element with different mass; LA-ICP-MS uses a laser to sample tiny areas; MC-ICP-MS measures precise isotope ratios. 3) QC and chemistry: use double-spike or sample-standard bracketing for Sn mass-bias control; run NIST SRM-981 for Pb and matrix-matched bronze CRMs regularly; log procedural blanks, recoveries, and LODs in LIMS. 4) Smelting experiments: run controlled smelts with natural cassiterite + Cu at temperatures 800/1000/1200°C, oxidising/neutral/reducing conditions, different slag chemistries, and up to five remelts; replicate each condition &gt;=3 times; measure ΔSn per step. 5) Data processing: compute spot-level distributions, flag outliers (&gt;3σ), log-transform trace elements, and compute key ratios (Sb/Sn, Bi/Sb, Pb/Sn). 6) Modelling: implement a hierarchical Bayesian mixture model where observations are multivariate normals (isotope ratios + log-trace) with total covariance = analytical + within-object + source population. Encode cross-covariances for splits measured on the same aliquot. Include an explicit additive Pb endmember term for samples with discordant Pb. Use weakly informative Dirichlet priors on source proportions and an 'unknown' wide source. 7) Uncertainty propagation: propagate LA spot posterior variance into object-level likelihoods; provide MAP summaries and full posterior summaries for comparison. 8) Deliverables: reference dataset, smelting ΔSn envelopes, QC reports, and reproducible model code and results.</w:t>
      </w:r>
    </w:p>
    <w:p>
      <w:r>
        <w:t xml:space="preserve"> </w:t>
      </w:r>
    </w:p>
    <w:p>
      <w:pPr>
        <w:pStyle w:val="Heading2"/>
      </w:pPr>
      <w:r>
        <w:t>Experiments</w:t>
      </w:r>
    </w:p>
    <w:p>
      <w:r>
        <w:t>Datasets: 153 archaeological bronze objects (balanced by site/phase), tiered ore reference sets (Tier1: 8–15 ores per deposit for at least 6 named southern African localities including Rooiberg; Tier2: 8–12 samples per regional field; Tier3: 6–10 per long-distance source), and 3–5 processed-tin specimens per major trade region where available. Smelting dataset: factorial runs (3 temperatures x 3 redox states x 2 slag types x up to 5 remelts) with &gt;=3 replicates per cell. Baselines: (A) Pb-only attribution using classical ratio matching, (B) Sn-only attribution, (C) trace-element multivariate distance classification, (D) deterministic linear mixing model, and (E) the proposed hierarchical Bayesian model. Evaluation metrics: classification accuracy, confusion matrix, ROC/AUC, posterior calibration (coverage of credible intervals), posterior entropy, and misclassification rate. Experimental setup: 10-fold cross-validation on artifacts when true source held in reference; leave-one-source-out tests to evaluate identifiability when a real source is missing; simulated data grid with recycling fractions 0%, 10%, 25%, 50% and added Pb admixture 0%, 5%, 10%, 20% by mass; low-mass scenarios simulated by inflating analytical covariance corresponding to on-column Sn masses of 500 ng, 200 ng, 100 ng, 50 ng. Ablation studies: (1) remove Pb from model, (2) remove Sn from model, (3) remove within-object covariance propagation (use MAP only), (4) replace Dirichlet prior concentration values (0.1, 1, 5). Report numerical comparisons across all metrics and compute power curves for source discrimination as function of reference sample count per deposit.</w:t>
      </w:r>
    </w:p>
    <w:p>
      <w:r>
        <w:t xml:space="preserve"> </w:t>
      </w:r>
    </w:p>
    <w:p>
      <w:pPr>
        <w:pStyle w:val="Heading2"/>
      </w:pPr>
      <w:r>
        <w:t>Risk Factors And Limitations</w:t>
      </w:r>
    </w:p>
    <w:p>
      <w:r>
        <w:t>1) Incomplete reference baseline: unsampled or poorly represented ore sources will reduce identifiability and increase the 'unknown' posterior. 2) Secondary lead: added or recycled Pb can decouple Pb isotopes from tin source and cause misattribution if not modelled correctly. 3) Low destructive mass: insufficient metal mass yields low on-column analyte, higher noise, and inflated uncertainty that can preclude confident assignment. 4) Within-object heterogeneity: mixed alloys or inclusions may violate the single-source assumption and complicate inference. 5) Measurement bias and inter-lab variability: unresolved mass-bias or inconsistent QC can produce systematic errors. 6) Model mis-specification: assuming multivariate normality or incorrect covariance structure can bias posterior probabilities. 7) Non-Gaussian trace distributions or heavy tails: log-transform may not fully normalise some element distributions. 8) Contamination during sampling or preparation can distort trace and isotope signals. 9) Ethical, permitting, or access delays for ore and artifact sampling can limit reference completeness. 10) Limited generalization: results apply to the sampled deposits and time window and may not extend to unsampled sources or different periods.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