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phnom_dek_slag_trajectories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Integrating slag chemistry, isotopes, experiments and Bayesian chronology to test technological trajectories in iron smelting at Phnom Dek, Cambodia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Intentional use of calcium-bearing fluxes and high-ash fuels during Phnom Dek smelts causes reproducible increases in slag CaO/SiO2 and alkali concentrations and distinctive mineralogical signatures that separate those recipes from smelts without flux or low-ash fuels.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Previous work on Southeast Asian bloomery iron has combined bulk slag geochemistry, prill analysis, isotopes, spatial mapping and experimental smelts to infer technological change. Studies typically use XRF/ICP-MS for majors and traces, EPMA/SEM for prills and phases, and radiocarbon for chronology. Experimental archaeology has created reference slags for classifier training. Limitations remain: numeric thresholds for flux or ash signals are often empirical or region-specific and not pre-registered; compositional-data workflows (clr/ilr transforms, zero/LOQ handling) are inconsistently applied; prill scarcity and pooling rules are underspecified; mineralogical quantification (standardized XRD/point counts) is uneven; inter-lab isotope reproducibility and blind-test protocols are not uniformly adopted; and calibrated radiocarbon uncertainty is rarely propagated into provenance or classification posteriors. These gaps reduce reproducibility and weaken tests of continuity versus episodic change.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tests whether deliberate recipe choices (flux addition, fuel type) drove measurable, long-term changes in slag chemistry and mineralogy at Phnom Dek (7th–20th c. CE). We combine systematic archaeological sampling, a mapped ore/soil baseline, high-precision geochemistry and isotopes, a factorial experimental reference library, and Bayesian radiocarbon models. Analytical data (XRF/ICP-MS majors &amp; traces, EPMA/SEM mineral chemistry, XRD modal phases, Pb/Cu/Fe isotopes) will be processed with compositional transforms (clr/ilr) and trained classifiers (Random Forest, LDA) validated by blind round-robin tests across labs. Experimental smelts will test recipe effects and provide labeled training data. Radiocarbon ages from in-slag and associated short-lived organics will be integrated in OxCal; calibrated-age uncertainty will be propagated into classification posteriors using hierarchical Bayesian models. The main contribution is a reproducible workflow linking recipe variables to robust numeric decision rules for identifying deliberate fluxing and high-ash practices, enabling falsifiable inference about technological continuity versus episodic innovation at Phnom Dek.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Field sampling and database: assign unique IDs (PDK-YYYY-UU-CTX-SSS-XX) and record 3D provenience in GIS. Collect archaeological slags (target 10–30 per broad time-slice), furnace features, in-slag charcoal, and baseline ores (min 40) and soils (min 60). 2) Lab analyses: majors and traces by fused-bead XRF and ICP-MS; modal mineralogy by XRD (quantified by Rietveld or image-based point counts); prill chemistry by EPMA and LA-ICP-MS; microstructure by SEM-BSE/EDS; isotopes: Pb and Cu on prills, Fe double-spike (MC-ICP-MS) on separated Fe phases. Explain: XRF = X-ray fluorescence for major elements; ICP-MS = mass-spectrometry for trace elements; EPMA = electron probe for small particles; LA-ICP-MS = laser-ablation sampling. 3) Charcoal &amp; radiocarbon: mechanically isolate short-lived charcoal, perform wood ID (thin-section), ABOX-SOx pretreatment, AMS dating, and store metadata. 4) Experimental library: run a factorial plan (ore type × flux % × fuel ash × air regime). Phase‑1 fractional screening (12 cells ×3 replicates) to produce reference slags, prills and metadata. 5) Data pipeline: convert compositional data using clr or ilr transforms (clr = centered log-ratio; ilr = isometric log-ratio) to remove closure effects (a closure effect is when percentages sum to 100% and distort statistics). Handle zeros/LOQ with multiplicative replacement or Bayesian imputation and record choices. 6) Statistical models: cluster slag chemistry (PCA, hierarchical clustering), test differences (PERMANOVA), train supervised classifiers (Random Forest, LDA) on experimental library. 7) Integration with chronology: build OxCal Phase/Sequence models for geochemical clusters; propagate calibrated-age uncertainty into classifier posteriors via Bayesian hierarchical models that accept distributions of dates rather than point ages. 8) QA/QC: blind round-robin (10% archaeological splits + experimental suite) across three labs, run CRMs and duplicates, archive raw files and SOPs in the relational DB with controlled vocabularies.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Archaeological slag suite from Phnom Dek: aim 120–200 slag samples total stratified into broad time-slices (minimum 10–15 per slice; prefer 20–30). (B) Baseline ores (n≥40) and soils (n≥60). (C) Experimental reference library: Phase‑1 fractional design 12 cells ×3 replicates = 36 smelts; later expansion to selected full-factorial cells up to 36 cells. Baselines: classifiers trained on experimental library and ore/soil baselines. Baseline methods: Random Forest and LDA. Evaluation metrics: classifier balanced accuracy, precision, recall, F1-score, confusion matrix; clustering evaluation via PERMANOVA R2, silhouette score, and adjusted Rand index (ARI) comparing clustering to chronological groupings; isotopic provenance assessed by Mahalanobis distance to ore baselines and Bayesian posterior probability of local vs non-local origin. Radiocarbon models: OxCal outputs (Start/End boundaries, 68%/95% ranges) and effective sample size (ESS) of Bayesian posteriors. Experimental setup: analytical precision targets—majors RSD ≤3%, traces RSD ≤10%, Fe-isotope precision ±0.02–0.05‰ (1σ). Inter-lab blind round-robin: send 10% archaeological splits + all experimental reference materials to 3 labs; collect results and derive lab-bias corrections. Ablation studies: (1) clr vs ilr transforms comparison: train identical classifiers on each transform and report changes in balanced accuracy and feature importance; (2) zero-handling strategies: multiplicative replacement vs Bayesian imputation; (3) feature ablation: remove mineralogical features (XRD/point-count) to quantify their contribution to classifier performance; (4) isotope ablation: compare classifier accuracy with and without Fe/Pb/Cu isotopes. Sensitivity tests: vary decision thresholds (e.g., CaO/SiO2 = 0.06, 0.08, 0.10) and report stability of assignments. All experiments and raw data, scripts (R/Python) and OxCal code will be archived and linked to sample IDs.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Sample quality: prills may be scarce, altered or weathered, reducing prill-based isotope and EPMA analyses. 2) Diagenesis: post-depositional contamination can modify major/trace element signals and mineralogy. 3) Old-wood and dating: charcoal may yield old-wood ages; this biases phase boundaries and can mislead association with chemical clusters. 4) Inter-lab variability: analytical bias between labs may remain despite blind tests; isotope reproducibility targets may not be met. 5) Compositional data issues: zeros and &lt;LOQ values can bias transforms and classifiers if poorly handled. 6) Sample size and power: preservation limits may prevent reaching target n per time-slice, lowering statistical power. 7) Model dependence: Bayesian hierarchical models depend on priors; results can be sensitive to prior choices. 8) Generalization: decision rules and numeric thresholds calibrated at Phnom Dek may not transfer to other regions or furnace technologies. 9) Computational load: propagating full calibrated-age distributions into classification posteriors increases compute time and complexity. 10) Ethical/logistical constraints: permits, export rules, and community concerns may restrict sampling or data release.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