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composite_bow_eurasia_reassessment</w:t>
      </w:r>
    </w:p>
    <w:p>
      <w:r>
        <w:t xml:space="preserve"> </w:t>
      </w:r>
    </w:p>
    <w:p>
      <w:pPr>
        <w:pStyle w:val="Heading2"/>
      </w:pPr>
      <w:r>
        <w:t>Title</w:t>
      </w:r>
    </w:p>
    <w:p>
      <w:r>
        <w:t>Integrating iconography, biomolecular assays, experimental replication, and ancient genomics to reassess the origin and spread of the full horn–wood–sinew composite bow in Ancient Eurasia</w:t>
      </w:r>
    </w:p>
    <w:p>
      <w:r>
        <w:t xml:space="preserve"> </w:t>
      </w:r>
    </w:p>
    <w:p>
      <w:pPr>
        <w:pStyle w:val="Heading2"/>
      </w:pPr>
      <w:r>
        <w:t>Short Hypothesis</w:t>
      </w:r>
    </w:p>
    <w:p>
      <w:r>
        <w:t>If human population movement from the Near East introduced the full horn–wood–sinew composite bow to other Eurasian regions, then sites with biomolecularly verified composite bows will co-occur spatially and temporally with detectable admixture from Near Eastern-related ancestries within a 200-year window more often than expected by chance.</w:t>
      </w:r>
    </w:p>
    <w:p>
      <w:r>
        <w:t xml:space="preserve"> </w:t>
      </w:r>
    </w:p>
    <w:p>
      <w:pPr>
        <w:pStyle w:val="Heading2"/>
      </w:pPr>
      <w:r>
        <w:t>Related Work</w:t>
      </w:r>
    </w:p>
    <w:p>
      <w:r>
        <w:t>Prior research proposes a Near Eastern Late Bronze Age origin for laminated and composite bows and documents rapid spread across Eurasia. Existing approaches rely heavily on iconography, typology, and a small number of material analyses. Limitations include inconsistent operational definitions of 'composite bow', scarce biomolecular validation (proteomics/adhesive chemistry), limited compound-specific radiocarbon dates on adhesives, few blind-validation trials, small or unbalanced ancient DNA samples, and weak integration across lines of evidence. Phylogenetic or cultural-evolution models have been applied unevenly and often ignore preservation and sampling biases. These gaps leave attribution uncertain and make it hard to distinguish population-mediated transmission from independent invention or cultural borrowing.</w:t>
      </w:r>
    </w:p>
    <w:p>
      <w:r>
        <w:t xml:space="preserve"> </w:t>
      </w:r>
    </w:p>
    <w:p>
      <w:pPr>
        <w:pStyle w:val="Heading2"/>
      </w:pPr>
      <w:r>
        <w:t>Abstract</w:t>
      </w:r>
    </w:p>
    <w:p>
      <w:r>
        <w:t>This study reassesses claims about the origins and diffusion of the full horn–wood–sinew composite bow across Ancient Eurasia by combining four data streams: iconographic coding, material biomolecular assays, experimental replication, and ancient genomics. We develop a hierarchical, weighted diagnostic rubric that defines a 'full composite bow' and implement blind-validation tests linking iconographic traits to proteomic and adhesive identifications. Laboratory work will use micro-CT imaging, LC–MS/MS proteomics (to identify horn/sinew), GC–MS/LC–MS for adhesives, and compound-specific radiocarbon dating of adhesives. Ancient DNA from associated burials will test for demographic events temporally linked to material evidence. Quantitative analyses will include Bayesian evidence trees, phylogenetic and network models, and formal power and sensitivity analyses. The main contribution is a reproducible, multi-proxy framework and an evidence-weighted classification that reduces circular inference. Expected outcomes are clearer spatio-temporal maps of verified composite-bow occurrences, probabilistic attributions of transmission mode, and prioritized targets for future sampling and philological study.</w:t>
      </w:r>
    </w:p>
    <w:p>
      <w:r>
        <w:t xml:space="preserve"> </w:t>
      </w:r>
    </w:p>
    <w:p>
      <w:pPr>
        <w:pStyle w:val="Heading2"/>
      </w:pPr>
      <w:r>
        <w:t>Methodology</w:t>
      </w:r>
    </w:p>
    <w:p>
      <w:r>
        <w:t>1) Define diagnostic rubric: produce a hierarchical list of evidentiary features and weights. Example: structural lamination (micro-CT) = high weight; proteomic horn/sinew ID = high weight; adhesive signature with CSRA date = high weight; iconographic double-convex silhouette = medium weight. 2) Iconography: collect high-resolution images, record context metadata, and code traits with probabilistic scores. Cohen’s kappa will assess reliability (target ≥0.7). 3) Materials analysis: perform micro-CT imaging to show lamination; take micro-samples for LC–MS/MS proteomics to detect horn vs sinew (ZooMS and peptide-based methods); run GC–MS/LC–MS for adhesive chemistry and isolate biomarkers for CSRA. 4) Compound-specific radiocarbon (CSRA): date diagnostic lipid or resin compounds to place adhesives in time. 5) Ancient DNA: sample petrous/tooth for genome-wide capture, authenticate with damage patterns and contamination checks, and run qpAdm, f4-statistics, PCA, and DATES to detect admixture pulses. 6) Experimental replication: build controlled replicas of candidate bow types, document manufacture traces, adhesives, and wear; generate mock-assemblages for blind tests. 7) Integration: run Bayesian evidence-tree model that weights independent lines; run phylogenetic (BEAST2/RevBayes) and network analyses (NeighborNet/PhyloNet) with sensitivity to priors. 8) Validation: blind tests where iconographers code images and materials scientists provide molecular IDs blind to iconographic labels; compute confusion matrices. 9) Power and sensitivity: run genetic and trait simulations (msprime/SLiM) to set sample sizes and test alternative cutoffs (e.g., ±200 years, kappa thresholds).</w:t>
      </w:r>
    </w:p>
    <w:p>
      <w:r>
        <w:t xml:space="preserve"> </w:t>
      </w:r>
    </w:p>
    <w:p>
      <w:pPr>
        <w:pStyle w:val="Heading2"/>
      </w:pPr>
      <w:r>
        <w:t>Experiments</w:t>
      </w:r>
    </w:p>
    <w:p>
      <w:r>
        <w:t>Datasets: (A) Iconography corpus: 100–150 high-resolution records from prioritized regions (Near East LBA, Sintashta/Andronovo, Central Asia, Eastern Steppe, Scythian zones) with metadata. (B) Material specimens: 30–100 archaeological bow components or residues spanning preservation regimes. (C) Genomes: target 150–200 genomes across key regions/time-slices; minimal fallback 6–10 genomes per region. Baselines: (1) iconography-only attribution, (2) material-only (proteomics/adhesive) attribution, (3) genetics-only demographic models. Pipelines: micro-CT imaging, LC–MS/MS proteomics with FDR ≤1% and ≥2 unique peptides per protein, GC–MS/LC–MS adhesive profiling, CSRA on diagnostic compounds, aDNA clean-room extraction, UDG-half libraries, 1240K capture. Evaluation metrics: sensitivity, specificity, positive predictive value (PPV), negative predictive value (NPV) from confusion matrices; Cohen’s kappa for coding; posterior probabilities from Bayesian evidence trees; Bayes factors for model comparison; admixture detection power and false-positive rates from simulations; temporal overlap measured as proportion of cases within ±200 years. Experimental setup: perform blind-validation tests on 50 mock and archaeological cases where iconographers, proteomics teams, and experimentalists are blinded to each other's labels; compute confusion matrices. Ablation study: compare full multimodal model (iconography + materials + genetics) vs three reduced models (remove genetics, remove material, remove iconography) and measure change in classification accuracy and posterior probability for transmission mode. Statistical tests: permutation tests for spatial co-occurrence, Mantel tests for space-time correlation, stepping-stone marginal likelihood estimation for Bayes factors. Reproducibility: release data and scripts in containerized form.</w:t>
      </w:r>
    </w:p>
    <w:p>
      <w:r>
        <w:t xml:space="preserve"> </w:t>
      </w:r>
    </w:p>
    <w:p>
      <w:pPr>
        <w:pStyle w:val="Heading2"/>
      </w:pPr>
      <w:r>
        <w:t>Risk Factors And Limitations</w:t>
      </w:r>
    </w:p>
    <w:p>
      <w:r>
        <w:t>1) Preservation bias: organic materials often degrade; low biomolecular signal may prevent firm identification. 2) Sampling/access: museum or permit denial can skew spatial coverage and produce biased results. 3) Contamination: modern protein or DNA contamination can create false positives. 4) Radiocarbon reservoir offsets: adhesives from marine or old-carbon sources can give misleading dates. 5) Small sample sizes: insufficient genomes or material specimens reduce power to detect admixture or trait transmission. 6) Model misspecification: phylogenetic or diffusion models may mistake convergence for transfer or fail under heavy horizontal transmission. 7) Blind-validation limits: mock assemblages may not capture full taphonomic variability of archaeological materials. 8) Ethical/legal constraints: repatriation or local community concerns may limit use of human remains or data sharing. 9) Budget and timeline: compound-specific dating and large-scale aDNA sequencing are costly and may be underfunded. 10) Generalization: results may apply only to well-sampled regions and not to areas with poor preservation or sparse archaeological investigation.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