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western_europe_pleistocene_dispersal</w:t>
      </w:r>
    </w:p>
    <w:p>
      <w:r>
        <w:t xml:space="preserve"> </w:t>
      </w:r>
    </w:p>
    <w:p>
      <w:pPr>
        <w:pStyle w:val="Heading2"/>
      </w:pPr>
      <w:r>
        <w:t>Title</w:t>
      </w:r>
    </w:p>
    <w:p>
      <w:r>
        <w:t>Bayesian integration of geochronology, taphonomy and spatial agent modeling to test dispersal timing and population dynamics in western Europe during the early–middle Pleistocene</w:t>
      </w:r>
    </w:p>
    <w:p>
      <w:r>
        <w:t xml:space="preserve"> </w:t>
      </w:r>
    </w:p>
    <w:p>
      <w:pPr>
        <w:pStyle w:val="Heading2"/>
      </w:pPr>
      <w:r>
        <w:t>Short Hypothesis</w:t>
      </w:r>
    </w:p>
    <w:p>
      <w:r>
        <w:t>When an explicit observation model for preservation and sampling bias is integrated with hierarchical geochronology and spatial agent models, the inferred mean arrival time of hominins in western Europe will not be later than Asian arrival priors by more than 100,000 years.</w:t>
      </w:r>
    </w:p>
    <w:p>
      <w:r>
        <w:t xml:space="preserve"> </w:t>
      </w:r>
    </w:p>
    <w:p>
      <w:pPr>
        <w:pStyle w:val="Heading2"/>
      </w:pPr>
      <w:r>
        <w:t>Related Work</w:t>
      </w:r>
    </w:p>
    <w:p>
      <w:r>
        <w:t>Existing approaches combine radiometric and luminescence dating (Ar/Ar, OSL, ESR, U‑series), lithic and faunal analyses, ancient biomolecules (aDNA, proteomics, ZooMS), and paleoenvironmental/climate modelling. Spatial agent‑based models (ABMs) and summed age curves have been used to infer dispersal patterns. Limitations: many studies rely on single dating methods or non‑replicated ages, producing uncertain chronologies; taphonomic and sampling biases are often omitted or modelled heuristically rather than estimated from micromorphology and sediment metrics; molecular approaches report low and variable yields in temperate Pleistocene contexts, with inconsistent cost–benefit analysis; few pipelines propagate full dating posterior uncertainty into demographic/spatial models; model comparison and power analyses for distinguishing delayed dispersal versus preservation artefacts are sparse. Governance and reproducibility (SOPs, inter‑lab blind tests, repository deposition) are inconsistently applied.</w:t>
      </w:r>
    </w:p>
    <w:p>
      <w:r>
        <w:t xml:space="preserve"> </w:t>
      </w:r>
    </w:p>
    <w:p>
      <w:pPr>
        <w:pStyle w:val="Heading2"/>
      </w:pPr>
      <w:r>
        <w:t>Abstract</w:t>
      </w:r>
    </w:p>
    <w:p>
      <w:r>
        <w:t>This project tests whether the apparent chronological lag between early occupations in Asia and western Europe during the early–middle Pleistocene arises from later dispersal or from preservation and sampling biases. We propose an integrated pipeline that (1) builds a hierarchical Bayesian geochronology model that jointly models method‑specific errors and lab offsets, (2) estimates preservation probability from micromorphology and depositional metrics through an explicit observation (taphonomy) model, and (3) propagates age posteriors into spatial agent‑based demographic models calibrated with paleoclimate ensembles. Inference uses likelihood‑free methods (ABC‑SMC) to compare competing hypotheses: delayed dispersal, low‑density continuous occupation, and pulsed dispersal with local extinctions. Main contributions are a reproducible statistical specification that links dating uncertainty and taphonomy to dispersal inference, simulation‑based power and cost curves for molecular and dating thresholds, and falsifiable model comparisons. Expected outcome: quantitative discrimination of whether the Europe–Asia lag is real or artefactual and a transparent, reusable workflow for Pleistocene dispersal studies.</w:t>
      </w:r>
    </w:p>
    <w:p>
      <w:r>
        <w:t xml:space="preserve"> </w:t>
      </w:r>
    </w:p>
    <w:p>
      <w:pPr>
        <w:pStyle w:val="Heading2"/>
      </w:pPr>
      <w:r>
        <w:t>Methodology</w:t>
      </w:r>
    </w:p>
    <w:p>
      <w:r>
        <w:t>1) Data compilation: assemble site datasets from pilot western European sites (Atapuerca, Vallonnet, Ceprano, Boxgrove) and Asian benchmark sites (Dmanisi, Nihewan, Ubeidiya). Include raw geochron data, micromorphology scores, sedimentology, lithic counts/refits, faunal inventories, and molecular screening results (ZooMS, proteomics, aDNA). 2) Hierarchical Bayesian geochronology: build a joint model where each age observation y_ij (method i, sample j) has method‑specific likelihood with its reported uncertainty and a lab offset term (offset_i ~ Normal(0, sigma_lab)). Include an outlier component (mixture model) that assigns probability p_out to reworked/contaminated ages. Implement in established radiocarbon/age frameworks (OxCal/Bacon style) or in custom Bayesian code to produce posterior age draws (explain: posterior draws are a large set of plausible ages reflecting uncertainty). 3) Observation (taphonomy) model: define preservation probability P_pres(site,horizon) as a logistic function of micromorphology bioturbation index, burial depth, sedimentation rate, shelf exposure (sea‑level), and grain‑size mixing metrics (explain: these are simple measurable features of deposits). Fit the logistic model to modern and palaeo reference cases and to internal indicators (e.g., proportion of refits, presence of hearths). 4) Paleoclimate and habitat inputs: run or ingest climate ensemble slices (EMIC + selected GCM downscales) for anchor times; derive NPP and biome suitability maps via a DGVM (dynamic global vegetation model; simple: a model that converts climate to plant productivity). 5) Spatial agent model (ABM): implement family‑group agents with age structure, energy budget, movement rules (forage radius, exploratory pulse), reproduction rules, and establishment criterion (sustained positive growth over X generations). Agents interact with habitat suitability rasters and raw‑material sources. 6) Inference: use ABC‑SMC (approximate Bayesian computation with sequential Monte Carlo) to estimate posterior distributions of dispersal parameters and to compute Bayes factors between explicit hypotheses (delayed dispersal, continuous low‑density, pulsed dispersal). Propagate &gt;=1000 posterior age draws into each ABM run so dating uncertainty is included. 7) Power and cost analysis: simulate data under known scenarios and varying numbers of dated horizons, molecular yields, and sampling effort; compute model discrimination power and per‑sample cost vs success curves. 8) Governance and reproducibility: pre‑register models and SOPs, deposit code and posterior draws in public repositories. (Technical term explanations: hierarchical Bayesian model = a statistical model that represents multiple levels of uncertainty explicitly; ABC‑SMC = a method that fits complex models by simulating data and keeping parameter sets that produce simulations close to observations.)</w:t>
      </w:r>
    </w:p>
    <w:p>
      <w:r>
        <w:t xml:space="preserve"> </w:t>
      </w:r>
    </w:p>
    <w:p>
      <w:pPr>
        <w:pStyle w:val="Heading2"/>
      </w:pPr>
      <w:r>
        <w:t>Experiments</w:t>
      </w:r>
    </w:p>
    <w:p>
      <w:r>
        <w:t>1) Simulation benchmark study: generate 500 simulated region‑scale datasets under three ground‑truth scenarios (A delayed dispersal; B continuous low‑density occupancy; C pulsed dispersal with extinctions). For each simulation sample site preservation using the logistic observation model and generate synthetic ages per horizon with method error models and lab offsets. Fit full pipeline and record model selection accuracy (fraction correctly identified). Metrics: model classification accuracy, true positive rate, false positive rate, and Bayes factor distribution. 2) Ablation study (synthetic): run the same 500 simulations with three variants: V1 full pipeline; V2 without observation (taphonomy) model; V3 with simple calibrated ages (no hierarchical lab offsets). Compare model selection accuracy and arrival‑lag estimates. Metrics: change in posterior mean arrival lag, drop in classification accuracy, coverage (fraction of true arrival times inside 90% credible interval). 3) Molecular power/cost curves: for petrous aDNA (cost ~€2,500 per screened sample), proteomics (cost ~€400 per tooth), and ZooMS (€20 per fragment), simulate empirical yield distributions (endogenous aDNA 0.05–1.0%, proteomics identification rate 5–40%). For each yield level compute number of samples required to reach authentication thresholds (e.g., 0.1% endogenous + damage profile) with 80% probability and compute total cost. Output cost vs success curves. 4) Real data application: apply pipeline to pilot sites (Atapuerca, Vallonnet, Ceprano, Boxgrove) with Asian priors (Dmanisi, Nihewan, Ubeidiya). Baselines: Baseline‑A = simple calibrated ages + ABM; Baseline‑B = hierarchical geochronology without observation model; Proposed = full hierarchical + observation model + ABM. Evaluation metrics: posterior mean arrival lag (Europe minus Asia) with 90% credible interval, Bayes factor comparing the three hypotheses, posterior predictive checks (e.g., refit density, site density distribution), and RMSE between observed and simulated age distributions. 5) Identifiability sensitivity: run global sensitivity (Sobol indices) on ABM/observation parameters to rank which parameters (e.g., bioturbation index coefficient, burial depth effect, daily foraging radius) most influence arrival‑lag inference. Report required calibration data per parameter (e.g., number of micromorph samples). Computational setup: ABC‑SMC with 5,000 particles, 1,000 posterior age draws per particle, run on cluster nodes with parallel simulation. 6) Reporting: produce confusion matrices for simulations, cost curves, and a table of per‑site required sample numbers for 80% model discrimination.</w:t>
      </w:r>
    </w:p>
    <w:p>
      <w:r>
        <w:t xml:space="preserve"> </w:t>
      </w:r>
    </w:p>
    <w:p>
      <w:pPr>
        <w:pStyle w:val="Heading2"/>
      </w:pPr>
      <w:r>
        <w:t>Risk Factors And Limitations</w:t>
      </w:r>
    </w:p>
    <w:p>
      <w:r>
        <w:t>1) Technical failure modes: hierarchical geochronology may fail if published age uncertainties are biased or missing method metadata; lab offsets may be unidentifiable with sparse inter‑lab overlaps. 2) Data biases: preservation and sampling are uneven across sites; micromorphology measures may be unavailable or inconsistent, reducing reliability of the observation model. 3) Molecular yields: aDNA/proteomic yields in temperate Pleistocene contexts may be too low to provide taxonomic anchors; cost estimates may overrun if additional screening is required. 4) Model identifiability and confounding: similar observable patterns can be produced by different combinations of low occupancy plus strong taphonomic loss versus true delayed dispersal, limiting causal attribution. 5) Scalability and compute: ABC‑SMC with large posterior propagation and climate ensembles requires substantial compute and storage; limited compute may force reduced particle counts or coarser climate inputs. 6) Generalization limits: pipeline calibrated on selected pilot sites may not generalize to other depositional settings (e.g., submerged shelf sites). 7) Ethical and governance constraints: destructive sampling permissions and repatriation rules may limit access to critical specimens, creating gaps in data. 8) Sensitivity to priors: results may be sensitive to chosen priors for mutation rates, method offsets, or preservation coefficients; conclusions must be interpreted in the context of prior choices.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