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english_development_governmentality_bangladesh</w:t>
      </w:r>
    </w:p>
    <w:p>
      <w:r>
        <w:t xml:space="preserve"> </w:t>
      </w:r>
    </w:p>
    <w:p>
      <w:pPr>
        <w:pStyle w:val="Heading2"/>
      </w:pPr>
      <w:r>
        <w:t>Title</w:t>
      </w:r>
    </w:p>
    <w:p>
      <w:r>
        <w:t>A mixed-methods study using vignette experiments and thematic analysis to test how development-framed English-in-education policy shapes low-SES parents' and students' beliefs and actions in a Bangladeshi school</w:t>
      </w:r>
    </w:p>
    <w:p>
      <w:r>
        <w:t xml:space="preserve"> </w:t>
      </w:r>
    </w:p>
    <w:p>
      <w:pPr>
        <w:pStyle w:val="Heading2"/>
      </w:pPr>
      <w:r>
        <w:t>Short Hypothesis</w:t>
      </w:r>
    </w:p>
    <w:p>
      <w:r>
        <w:t>Exposure to development-framed English policy messages increases low-SES parents' self-blame and willingness to pay for private English tuition compared with exposure to neutral policy messages.</w:t>
      </w:r>
    </w:p>
    <w:p>
      <w:r>
        <w:t xml:space="preserve"> </w:t>
      </w:r>
    </w:p>
    <w:p>
      <w:pPr>
        <w:pStyle w:val="Heading2"/>
      </w:pPr>
      <w:r>
        <w:t>Related Work</w:t>
      </w:r>
    </w:p>
    <w:p>
      <w:r>
        <w:t>Prior work links language-in-education policy to development ideologies, using Bourdieu to show how language becomes 'linguistic capital', Foucauldian governmentality to show self-governing subject formation, and Ahmed to analyse affect (shame, hope). Most studies are qualitative case studies or policy analyses that describe how policies are framed and how teachers or students talk about English. Limitations: (1) Many studies are descriptive and theoretical, so they cannot establish causal effects of policy messaging on behaviour; (2) Single-site qualitative work limits generalisability beyond one school community; (3) Research often lacks experimental tests of messaging effects and standardized measures of affect or willingness-to-pay; (4) Micro-interactional features (pauses, overlap, code-switching) are frequently under-annotated or not linked to theory-driven coding; (5) Translation and back-translation practices and interrater reliability are inconsistently reported, reducing reproducibility.</w:t>
      </w:r>
    </w:p>
    <w:p>
      <w:r>
        <w:t xml:space="preserve"> </w:t>
      </w:r>
    </w:p>
    <w:p>
      <w:pPr>
        <w:pStyle w:val="Heading2"/>
      </w:pPr>
      <w:r>
        <w:t>Abstract</w:t>
      </w:r>
    </w:p>
    <w:p>
      <w:r>
        <w:t>This study tests whether development-framed English-in-education policy messaging causes changes in beliefs and actions among low-socioeconomic-status (low-SES) parents and students in a Bangladeshi school. We combine a randomized vignette experiment embedded within interviews and focus groups with rich qualitative micro-analysis. Participants (parents, students, teachers, principal) receive either a development-framed policy vignette (emphasizing English as necessary for individual/social development) or a neutral vignette. Quantitative measures capture self-blame, willingness-to-pay for private tuition, and perceived linguistic capital; qualitative data are transcribed Bangla-first with Jeffersonian notation, coded thematically, and analysed for micro-interactional cues. Main contributions: (1) a causal test of policy messaging effects on low-SES family decisions; (2) an integrated micro-to-macro analytic workflow linking utterance-level affect and interaction to policy texts and theory (Bourdieu, Foucault, Ahmed); (3) reproducible protocols for transcription, translation, coding and reliability. Expected outcome: evidence on whether development-framed policy language drives self-responsibilisation and market responses in low-SES communities, informing equitable language policy design.</w:t>
      </w:r>
    </w:p>
    <w:p>
      <w:r>
        <w:t xml:space="preserve"> </w:t>
      </w:r>
    </w:p>
    <w:p>
      <w:pPr>
        <w:pStyle w:val="Heading2"/>
      </w:pPr>
      <w:r>
        <w:t>Methodology</w:t>
      </w:r>
    </w:p>
    <w:p>
      <w:r>
        <w:t>1) Design overview: mixed-methods combining a randomized vignette experiment with qualitative thematic and micro-interactional analysis. 2) Sample: purposive within one school (quota: principal 1; English teachers 8; parents 16; students 24 across grades 4-10). If needed add one comparable nearby school. 3) Vignette experiment: create two short written vignettes in Bangla: (A) development-framed policy message (English as tool for individual/social development, competitiveness), (B) neutral message (facts about curriculum without development framing). Randomly assign parent participants to A or B before interview or focus group. 4) Quantitative measures: short Likert scales administered immediately after vignette: self-blame scale (3 items), willingness-to-pay for private English tuition (numeric/choice), perceived linguistic capital (3 items). 5) Qualitative data: semi-structured interviews and focus groups recorded; naturalistic observation at PT meetings or English classes. 6) Transcription &amp; translation: Bangla-first Jeffersonian transcripts (mark pauses, overlap, emphatic stress, laughter); literal gloss line plus contextual translation line for analytic excerpts; back-translate 20% of affect-laden excerpts. Jeffersonian notation: a detailed way to mark talk features (pauses, overlaps). 7) Coding &amp; analysis: develop codebook with deductive families (Bourdieu: linguistic capital, misrecognition; Foucault: audit, subjectification; Ahmed: affect, stickiness) and inductive codes. Unit of analysis primary: turn (speaker turn); annotate sub-utterance clauses where needed. Use NVivo (or similar) for thematic coding. 8) Micro-analysis: annotate modal verbs, pauses, code-switching, laughter, sighs and link these features to affect codes. 9) Reliability: double-code 20% purposive sample; compute Krippendorff's alpha (a measure of interrater agreement suitable for more than two coders and non-binary codes). 10) Integration: triangulate experimental quantitative results with qualitative themes and micro-interactional evidence in memos that map vignette exposure → local narratives → interactional evidence. 11) Reporting: report effect sizes for experimental outcomes and exemplar vignettes showing micro-to-macro links. Technical terms explained: randomized vignette experiment = giving different short stories to participants randomly to test causal effects; Krippendorff's alpha = a statistic that measures how much coders agree beyond chance.</w:t>
      </w:r>
    </w:p>
    <w:p>
      <w:r>
        <w:t xml:space="preserve"> </w:t>
      </w:r>
    </w:p>
    <w:p>
      <w:pPr>
        <w:pStyle w:val="Heading2"/>
      </w:pPr>
      <w:r>
        <w:t>Experiments</w:t>
      </w:r>
    </w:p>
    <w:p>
      <w:r>
        <w:t>1) Datasets and sample sizes: parents n=160 (80 per arm), students n=120 (for supplemental measures), teachers n=40 for perception survey, school documents corpus (prospectus, marketing, exam reports). 2) Randomization: parents randomized 1:1 to development-framed vignette (treatment) or neutral vignette (control). 3) Baselines: control vignette; pre-vignette baseline measures of socio-demographics, prior private tuition spending in last 6 months. 4) Outcomes and metrics: primary outcome 1 = self-blame score (mean of 3 Likert items, range 1-5); primary outcome 2 = willingness-to-pay (WTP) for one month of private English tuition (numeric BDT or categorical bins). Secondary outcomes: perceived linguistic capital score (mean of 3 items); expressed behavioural intention to enroll child in tuition (binary). Qualitative outcomes: frequency of thematic codes (normalized per transcript), exemplar micro-interactional markers linked to affect. 5) Statistical tests: compare treatment vs control using two-sample t-tests for continuous outcomes, chi-square or logistic regression for binary outcomes; adjust for covariates (parent education, household income) using OLS or logistic regression. Report Cohen's d and 95% confidence intervals. 6) Ablation studies: (A) remove vignette (pre-post only) to test demand effects; (B) test alternate vignette framing emphasizing civic/social good rather than individual advancement to isolate individual vs social framing effects. 7) Qualitative analysis comparisons: compare code frequencies and key themes between treatment and control groups using matrix queries; compute Krippendorff's alpha for interrater reliability on core codes (target alpha≥0.67 for exploratory qualitative codes). 8) Mixed inference: use convergent triangulation: require that quantitative treatment effects align with increased thematic code prevalence and micro-interaction evidence (e.g., more emphatic modals, pauses indicating affect) for a robust conclusion. 9) Data splits and reproducibility: with n=160 parents, power: two-sample t-test to detect d=0.45 at 80% power, alpha=0.05. 10) Pre-registration: register primary outcomes, analysis plan and codebook prior to data collection.</w:t>
      </w:r>
    </w:p>
    <w:p>
      <w:r>
        <w:t xml:space="preserve"> </w:t>
      </w:r>
    </w:p>
    <w:p>
      <w:pPr>
        <w:pStyle w:val="Heading2"/>
      </w:pPr>
      <w:r>
        <w:t>Risk Factors And Limitations</w:t>
      </w:r>
    </w:p>
    <w:p>
      <w:r>
        <w:t>1) Causal inference limits: experiment tests short-term effects of messaging; long-term behavioural change (actual tuition enrolment) may not follow immediate responses. 2) Sample and generalisation: single-site or small multi-site samples limit external validity to other regions or urban/rural contexts. 3) Social desirability and demand effects: participants may answer to please interviewers or follow perceived expectations after vignettes, biasing measured outcomes. 4) Translation and annotation complexity: nuanced Bangla expressions, code-switching and prosody may be lost or inconsistently rendered in translation, affecting interpretive claims. 5) Measurement error: self-reported willingness-to-pay may not reflect real financial behaviour. 6) Interrater reliability: achieving high agreement on affective and theory-driven codes is challenging; low agreement reduces confidence in qualitative frequency comparisons. 7) Ethical and safeguarding risks: discussing stigma, shame or poverty can distress participants and requires robust referral pathways. 8) Data security and re-identification: small community data risks re-identification even after anonymisation, limiting what can be published. 9) Resource constraints: transcription with Jeffersonian detail and back-translation is time-consuming and costly, which may reduce sample sizes. 10) Analytical complexity: integrating micro-interactional detail with experimental statistics demands interdisciplinary skills; misalignment between qualitative and quantitative findings may complicate interpretation.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