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artificial_creativity_ablation</w:t>
      </w:r>
    </w:p>
    <w:p>
      <w:r>
        <w:t xml:space="preserve"> </w:t>
      </w:r>
    </w:p>
    <w:p>
      <w:pPr>
        <w:pStyle w:val="Heading2"/>
      </w:pPr>
      <w:r>
        <w:t>Title</w:t>
      </w:r>
    </w:p>
    <w:p>
      <w:r>
        <w:t>Empirical testing of training-origin influence on perceived creativity of AI-generated art using data-provenance ablation and prompt-dependence experiments</w:t>
      </w:r>
    </w:p>
    <w:p>
      <w:r>
        <w:t xml:space="preserve"> </w:t>
      </w:r>
    </w:p>
    <w:p>
      <w:pPr>
        <w:pStyle w:val="Heading2"/>
      </w:pPr>
      <w:r>
        <w:t>Short Hypothesis</w:t>
      </w:r>
    </w:p>
    <w:p>
      <w:r>
        <w:t>Removing or perturbing a target artist's examples from a generative model's training data causes a measurable decrease in human judgments of creativity, perceived autonomy, and authorship attribution for outputs that previously resembled that artist.</w:t>
      </w:r>
    </w:p>
    <w:p>
      <w:r>
        <w:t xml:space="preserve"> </w:t>
      </w:r>
    </w:p>
    <w:p>
      <w:pPr>
        <w:pStyle w:val="Heading2"/>
      </w:pPr>
      <w:r>
        <w:t>Related Work</w:t>
      </w:r>
    </w:p>
    <w:p>
      <w:r>
        <w:t>Prior work shows generative models can produce art-like outputs and sometimes mimic artists' styles (e.g., GAN and diffusion model outputs and market controversies). Evaluation approaches have relied on product-focused metrics (novelty and value), perceptual ratings, and memorization checks, while process and attribution have been less rigorously operationalized. Interpretability tools (influence functions, representer points, activation patching, concept activation vectors) have been used to trace data influence but are noisy and often lack ground-truth validation. Privacy and provenance proposals suggest salted hashes and redaction, but standardized audit workflows are absent. Limitations: causal claims about training-origin influence are weak because most studies lack controlled ablations or synthetic ground truth; evaluation metrics are inconsistently defined; interpretability methods are not calibrated against known counterfactuals; and social attribution (who gets credit) is under-specified and underpowered in cross-cultural settings.</w:t>
      </w:r>
    </w:p>
    <w:p>
      <w:r>
        <w:t xml:space="preserve"> </w:t>
      </w:r>
    </w:p>
    <w:p>
      <w:pPr>
        <w:pStyle w:val="Heading2"/>
      </w:pPr>
      <w:r>
        <w:t>Abstract</w:t>
      </w:r>
    </w:p>
    <w:p>
      <w:r>
        <w:t>This project tests whether opaque correlations between training data and model outputs justify calling AI systems "creative." We use two experimental manipulations—data-provenance ablation (full / artist-removed / artist-perturbed) and prompt-dependence control (specific vs. noisy prompts)—to produce contrastive model outputs. We operationalize creativity with a Composite Creativity Index (CCI) combining novelty (embedding distances and memorization checks), value (blinded lay and expert ratings), surprise (self-report and reaction-time proxies), and an Autonomy Score (goal-setting signals, self-evaluation counts, prompt-independence, training-origin dispersion). We apply interpretability methods (influence functions, representer points, activation patching, concept activation vectors) and require convergent evidence (≥2 methods plus removal effect) before attributing outputs to training-origin influence. Human perception is measured with validated psychometric scales and expert panels across cultures. Expected contributions: a preregistered experimental protocol, formal metric definitions and thresholds, calibrated interpretability validation on synthetic ground truth, and governance-ready provenance practices that clarify when AI output can be defensibly called creative.</w:t>
      </w:r>
    </w:p>
    <w:p>
      <w:r>
        <w:t xml:space="preserve"> </w:t>
      </w:r>
    </w:p>
    <w:p>
      <w:pPr>
        <w:pStyle w:val="Heading2"/>
      </w:pPr>
      <w:r>
        <w:t>Methodology</w:t>
      </w:r>
    </w:p>
    <w:p>
      <w:r>
        <w:t>1) Data preparation: build a curated image/art corpus containing target-artist examples and matched style controls; create perturbed versions of target examples (style-transfer, attribute-swap, label scramble). 2) Model conditions: (a) baseline pre-trained model, (b) fine-tuned model on full corpus, (c) fine-tuned model with artist-removed data, (d) fine-tuned model with artist-perturbed data. Fine-tune using LoRA/partial methods; reserve full retrain only if needed. 3) Prompt manipulation: generate outputs per condition using controlled prompt specificity (high-detail) and randomized-noise prompts; record full prompt histories. 4) Metrics: compute CCI components: novelty via embedding nearest-neighbor distance (CLIP and alternative embeddings), memorization checks via perceptual hash and n-gram overlap; value via blinded 7-point ratings; surprise via self-report and reaction-time proxies; autonomy via composite of measurable subcomponents (goal signals = task-conditioning response patterns; self-eval = model-in-loop iteration counts; prompt-independence = mutual information estimate between prompt edits and stylistic features; training-origin dispersion = influence mass spread). Explain technical terms simply: embedding = numeric summary of an image's content; influence function = method estimating which training examples most affected an output. 5) Interpretability: run influence functions, representer-point analysis, activation patching (swap activations to test causal effect), and CAVs (vectors representing concepts) and compare results. 6) Human evaluation: deploy validated Likert scales (Perceived Creativity, Perceived Autonomy, Sensemaking) in pilot and main samples; run expert panels for adjudication. 7) Governance: log salted hashes, encrypted full prompts, and apply differential privacy routines for public dumps with documented epsilon values.</w:t>
      </w:r>
    </w:p>
    <w:p>
      <w:r>
        <w:t xml:space="preserve"> </w:t>
      </w:r>
    </w:p>
    <w:p>
      <w:pPr>
        <w:pStyle w:val="Heading2"/>
      </w:pPr>
      <w:r>
        <w:t>Experiments</w:t>
      </w:r>
    </w:p>
    <w:p>
      <w:r>
        <w:t>Datasets: curated art corpus with target artists (e.g., works analogous to Edmond de Belamy lineage), matched style corpora, and a held-out human-authored set. Baselines: (1) human-authored artworks, (2) unablated pre-trained model outputs, (3) randomly-ablated model outputs (control). Conditions: full, artist-removed, artist-perturbed; prompt-specific vs. prompt-noise. Sample sizes: pilot N=60 lay raters; main N≈200 lay raters per between-subject condition; expert panels 25–30. Generation: fixed random seeds, seed-fixed sampling parameters; 30 distinct outputs per model-condition × prompt type. Evaluation metrics: CCI (normalized subindices), memorization rates (p-hash collisions, n-gram matches), perceived scales (7-point Likert), reaction-time surprise, Autonomy Score composite. Statistical tests: mixed-effects models Outcome ~ Condition + PromptType + Expertise + (1|Rater) + (1|Item); ROC analysis for Autonomy proxy against expert labels (report AUC and Youden J), permutation tests for removal effects, FDR correction for multiple comparisons. Ablation study: compare full vs artist-removed vs artist-perturbed on CCI and attribution; report standardized effect sizes (Cohen's d) and 95% CIs. Interpretability validation: synthetic ground-truth experiment where known exemplar is injected and then removed, measure whether interpretability methods recover the injected signal; require at least two methods to agree and a removal experiment effect d≥0.35 across ≥2 seeds before asserting training-origin causality. Reproducibility: release containers, seed-fixed scripts, salted-hash indexes, and DP-sanitized prompt dumps with documented epsilon.</w:t>
      </w:r>
    </w:p>
    <w:p>
      <w:r>
        <w:t xml:space="preserve"> </w:t>
      </w:r>
    </w:p>
    <w:p>
      <w:pPr>
        <w:pStyle w:val="Heading2"/>
      </w:pPr>
      <w:r>
        <w:t>Risk Factors And Limitations</w:t>
      </w:r>
    </w:p>
    <w:p>
      <w:r>
        <w:t>Influence-method noise: influence functions and representer scores are approximate and can give false positives. Small effect sizes: perceptual differences may be below human detection, requiring large samples. Cultural and rater bias: cross-cultural measurement invariance may fail, limiting generalization. Differential privacy utility loss: DP sanitization may reduce downstream metric validity. Compute constraints: full retrain is expensive and may be infeasible; fine-tune proxies may not fully isolate causal signals. Legal/ethical constraints: data-removal requests, copyright, or Indigenous data sovereignty issues may block access to necessary training examples. Re-identification risk: prompt or provenance leaks may reveal sensitive information. Interpretation limits: demonstrating training-origin influence does not prove creativity or intentionality in philosophical terms; social attribution remains context-dependent.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