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social_cohesion_africa_bayesian_sem</w:t>
      </w:r>
    </w:p>
    <w:p>
      <w:r>
        <w:t xml:space="preserve"> </w:t>
      </w:r>
    </w:p>
    <w:p>
      <w:pPr>
        <w:pStyle w:val="Heading2"/>
      </w:pPr>
      <w:r>
        <w:t>Title</w:t>
      </w:r>
    </w:p>
    <w:p>
      <w:r>
        <w:t>Joint Bayesian multilevel structural equation modeling to measure social cohesion in Africa by integrating Afrobarometer household data and V-Dem expert indicators</w:t>
      </w:r>
    </w:p>
    <w:p>
      <w:r>
        <w:t xml:space="preserve"> </w:t>
      </w:r>
    </w:p>
    <w:p>
      <w:pPr>
        <w:pStyle w:val="Heading2"/>
      </w:pPr>
      <w:r>
        <w:t>Short Hypothesis</w:t>
      </w:r>
    </w:p>
    <w:p>
      <w:r>
        <w:t>A joint Bayesian multilevel SEM that integrates Afrobarometer individual responses and V-Dem country-level indicators (with coder uncertainty) produces more accurate and comparable country-level social cohesion estimates than a two-step IRT/CFA plus survey-weighted aggregation pipeline.</w:t>
      </w:r>
    </w:p>
    <w:p>
      <w:r>
        <w:t xml:space="preserve"> </w:t>
      </w:r>
    </w:p>
    <w:p>
      <w:pPr>
        <w:pStyle w:val="Heading2"/>
      </w:pPr>
      <w:r>
        <w:t>Related Work</w:t>
      </w:r>
    </w:p>
    <w:p>
      <w:r>
        <w:t>Existing approaches measure social cohesion mainly by aggregating survey items, fitting item response / confirmatory factor models at the individual level then aggregating scores, or by using expert-coded country indices (V-Dem) separately. Common methods include two-step IRT/CFA scoring with design-corrected weighted averages, simple mean or PCA composites, and standalone V-Dem institutional indices. Limitations: two-step approaches can mispropagate measurement error and ignore survey–expert method variance; simple aggregates and PCA use arbitrary weights; many studies fail to model V-Dem coder uncertainty explicitly; invariance (cross-country comparability) is often untested or unresolved; subnational estimates lack spatial smoothing when clusters are sparse; and missing-not-at-random and social-desirability biases are not routinely assessed. These gaps reduce accuracy, understate uncertainty, and limit valid cross-country comparisons.</w:t>
      </w:r>
    </w:p>
    <w:p>
      <w:r>
        <w:t xml:space="preserve"> </w:t>
      </w:r>
    </w:p>
    <w:p>
      <w:pPr>
        <w:pStyle w:val="Heading2"/>
      </w:pPr>
      <w:r>
        <w:t>Abstract</w:t>
      </w:r>
    </w:p>
    <w:p>
      <w:r>
        <w:t>We address measurement and comparability challenges in quantifying social cohesion in Africa by combining household survey evidence and expert country indicators in a single modeling framework. We propose a joint Bayesian multilevel structural equation model (SEM) that estimates first-order latent traits for inclusive identity, trust, and cooperation at the individual level, links them to a second-order social cohesion latent, and incorporates a country-level Institutional Quality latent built from V-Dem indicators with published coder uncertainty treated as measurement error. The model nests individuals in country-years, models method variance between surveys and experts, and supports MRP-style poststratification and spatial small-area estimation where geodata exist. The main contribution is a reproducible pipeline that propagates all measurement uncertainty, tests invariance rules, and produces principled country and subnational cohesion scores with defensible uncertainty. Expected outcome: more accurate, comparable, and policy-useful social cohesion estimates with explicit uncertainty that improve predictive validity against conflict, compliance, and public goods outcomes.</w:t>
      </w:r>
    </w:p>
    <w:p>
      <w:r>
        <w:t xml:space="preserve"> </w:t>
      </w:r>
    </w:p>
    <w:p>
      <w:pPr>
        <w:pStyle w:val="Heading2"/>
      </w:pPr>
      <w:r>
        <w:t>Methodology</w:t>
      </w:r>
    </w:p>
    <w:p>
      <w:r>
        <w:t>1. Data preparation: produce a master codebook mapping Afrobarometer items (Waves 3–8, prioritize 6–8) to constructs: inclusive identity, trust, cooperation. Recode ordinal items to a common 0–3 scale, keep DK/refuse as missing, and prepare binary robustness recodes. Extract V-Dem country-year items and their published coder standard deviations (SDs). 2. Item diagnostics: run item response diagnostics (graded-response IRT for ordinal items; IRT models estimate item slopes/discrimination and thresholds). Graded-response IRT: a model for ordered responses where each item has a discrimination (slope) and several thresholds that map latent trait levels to response categories. Flag items with discrimination &lt;0.40, high local dependence, or extreme threshold clustering. 3. Invariance tests: sequentially test configural, metric, scalar invariance across countries. If scalar fails, apply alignment optimization (an approach that finds approximate invariance by aligning parameter matrices) and Bayesian approximate invariance as robustness. 4. Joint Bayesian multilevel SEM (Pipeline A): build a hierarchical model that nests individuals in country-years. At the individual level estimate first-order latent factors (inclusive identity, trust, cooperation). Specify a second-order cohesion latent that loads on first-order factors (reflective second-order model: the cohesion latent explains shared variance of first-order factors). At country level include a V-Dem latent measured by expert indicators; model their published coder SDs as known measurement-error variances so noisy expert observations are downweighted. Include a method factor or source random intercepts to capture survey vs expert method variance. Implement MRP-style poststratification by including demographic×region covariates and reweighting to population margins when stable. 5. Priors and computation: use weakly informative priors for factor loadings (e.g., Normal(0,1)), half-normal for SDs, and student-t for intercepts; use ordinal link functions (cumulative logit) for graded-response items. Fit in Stan/brms with Hamiltonian Monte Carlo, monitor Rhat (&lt;1.05), effective sample size (ESS&gt;200), and divergences. 6. Two-step pipeline (Pipeline B) for comparison: fit IRT/CFA per country to produce factor-score draws, aggregate with survey weights and complex-design SEs (Taylor linearization or replicate weights), and propagate factor-score uncertainty via multiple imputations and bootstrap. 7. Subnational: if cluster coordinates exist, estimate admin2 scores with Bayesian spatial BYM2 models (CAR prior) or Fay-Herriot small-area models; if not, use synthetic estimation with covariates (nightlights, population). 8. Missing data: impute under MAR with chained equations for baseline analyses, and run pattern-mixture and selection-model MNAR sensitivity grids for core items. 9. Validation: validate country and subnational scores against external outcomes (ACLED conflict, tax compliance, voter turnout, vaccination uptake). 10. Reproducibility: publish code, Stan/brms templates, Docker container, and a harmonization script.</w:t>
      </w:r>
    </w:p>
    <w:p>
      <w:r>
        <w:t xml:space="preserve"> </w:t>
      </w:r>
    </w:p>
    <w:p>
      <w:pPr>
        <w:pStyle w:val="Heading2"/>
      </w:pPr>
      <w:r>
        <w:t>Experiments</w:t>
      </w:r>
    </w:p>
    <w:p>
      <w:r>
        <w:t>Datasets: Afrobarometer Waves 3–8 (priority Waves 6–8) with design variables (weights, strata, PSU); V-Dem country-year indicators with coder SDs; external validation outcomes: ACLED conflict counts, government tax-revenue or self-reported tax compliance, voter turnout, vaccination uptake. Baselines: (A) two-step IRT/CFA + survey-weighted aggregation (Pipeline B); (B) simple equal-weight composite of standardized item means; (C) PCA on country means. Model variants: (1) Joint Bayesian multilevel SEM with V-Dem measurement-error and method factor (full model); (2) same joint model but without modeling V-Dem coder SDs; (3) joint model without method factor; (4) joint model using formative second-order specification; (5) MRP vs pseudo-likelihood weighting. Evaluation metrics: bias and RMSE of country and admin2 latent means vs simulated ground truth; 95% interval coverage; posterior interval width; rank concordance (Spearman rho) between methods; predictive validity (AUC for binary outcomes where applicable, RMSE for continuous outcomes, and R-squared improvement); calibration plots and Brier score for probabilistic outcomes. Experimental setup: 1) Simulation study (1000 replications per scenario) with known latent truth: vary missingness mechanisms (MCAR, MAR, MNAR with delta shifts), DIF prevalence (10%, 25%, 40% of items affected), sample sizes per country (n_eff 400, 800, 1600), and V-Dem coder noise levels (low/medium/high). Report bias, coverage, RMSE, and rank concordance. 2) Empirical holdout: fit models on 80% of countries and predict external outcomes for held-out 20%; compute predictive metrics. 3) Cross-validation: within-country k-fold (k=5) for individual-level predictive checks and posterior predictive checks. 4) Ablation studies: compare full model vs variants (2)-(4) above to measure impact of coder-uncertainty modeling, method factor, and second-order specification. 5) Subnational test: for three pilot countries (Ghana, Kenya, South Africa) compare admin2 estimates with and without spatial smoothing; evaluate bias vs withheld cluster-level estimates and map uncertainty. MCMC diagnostics: require Rhat&lt;1.05, no divergent transitions, ESS&gt;200. Reproducibility: fix seeds and report runtimes and hardware (recommend 32–64 GB RAM).</w:t>
      </w:r>
    </w:p>
    <w:p>
      <w:r>
        <w:t xml:space="preserve"> </w:t>
      </w:r>
    </w:p>
    <w:p>
      <w:pPr>
        <w:pStyle w:val="Heading2"/>
      </w:pPr>
      <w:r>
        <w:t>Risk Factors And Limitations</w:t>
      </w:r>
    </w:p>
    <w:p>
      <w:r>
        <w:t>Technical non-identifiability: second-order or bifactor specifications may not be identifiable if first-order factors correlate weakly. Computational cost: full Bayesian joint models with many items and countries require high memory and time; MCMC may fail to converge. Small sample sizes: countries or admin units with n_eff &lt;400 produce wide posteriors and unreliable comparisons. DIF and invariance limits: strong non-invariance across countries may force ordinal/rank-only comparisons. MNAR and social desirability: cooperation and trust items may be systematically biased and MNAR analyses may be inconclusive. V-Dem limitations: some country-year indicators have large coder SDs and sparse coder counts, reducing signal. Translation and conceptual validity: cross-language differences may produce construct drift that quantitative tests cannot fully resolve. Privacy and disclosure: subnational outputs risk re-identification if small cell sizes are released. Generalization: models calibrated on Afrobarometer and V-Dem may not generalize to non-covered countries or future waves without revalidation.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