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affective_resistance_effort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subjective effort from resisting affective behaviour-guiding signals using multimodal measurement and hierarchical modeling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Trialwise subjective effort increases causally with the intensity of affective behaviour-guiding signals (A_t) that an agent resists, independent of opportunity-cost cues when objective task demands are fixed.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Two main approaches address why tasks feel effortful. Cost/opportunity-cost models explain effort as arising from economic-like costs or foregone alternatives that reduce control allocation; they predict effort scales with opportunity costs or global metabolic signals. Phenomenological and affect-based accounts propose that effort is the felt experience of resisting directed, valenced signals (like hunger, pain, or temptation). Prior empirical work mixes physiological, behavioral, and self-report markers but often treats mental and physical effort separately, conflates felt effort with objective control costs, or lacks a joint latent measurement of affective pull. Limitations include: poor trialwise estimation of affective drive, insufficient orthogonalization of affective vs opportunity-cost manipulations, weak causal perturbations of affective signals, and lack of preregistered identifiability checks for cross-loading physiological measures.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when people experience effort by testing whether effortful feelings arise primarily from resisting affective, behaviour-guiding signals rather than from opportunity costs. We measure trialwise affective pull (A_t) using self-report and peripheral markers (pupil size, skin conductance, facial EMG, ECG) and estimate a latent A_t using a hierarchical measurement model. We manipulate affective pull and opportunity cost independently in within-subject cognitive and physical pilots, and use A_t as a single-trial regressor to predict subjective effort, avoidance choices, and neural activity in insula and cingulate control regions. Main contributions: (1) a concrete multimodal measurement and modeling pipeline to recover trialwise A_t; (2) experimental perturbations that separate affective pull from opportunity cost; (3) preregistered identifiability, QC, and model-selection rules. Expected outcome: evidence that subjective effort is driven by resisting affective signals, with measurable physiological and neural mediators, improving mechanistic understanding of mental and physical effort.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Define latent variables: A_t (affective pull) is a unitless trial score reflecting intensity of directed, valenced signals; C_t (resistance/control) is the trialwise control allocation. Temporal kernels: A_t onset within 0–2s post-cue, peak 0–6s, decay 6–12s. 2) Tasks: Two within-subject pilots: (a) cognitive temptation N-back with identical difficulty and 2×2 manipulation — distractor valence (tempting vs neutral) × opportunity-cost cue (high vs low external reward); (b) physical handgrip force sustain with matched metabolic load and two cues: aversive (urge to stop) vs mechanical load matched by VO2. 3) Measurements: trialwise VASs (urge, resistance, effort, valence), pupilometry, SCR, corrugator and zygomatic EMG, ECG (HRV), task EMG, force, and VO2 when available. 4) Preprocessing: artifact correction (blink/saccade removal for pupil, ECG filtering for HRV, EMG denoising), event-lock feature extraction (pupil slope, SCR peak, EMG bursts). 5) Measurement model: hierarchical Bayesian confirmatory factor or linear Gaussian state-space model that maps physiology and urge reports to latent A_t with regularizing priors; allow optional cross-loadings on C_t (bifactor). 6) Process model: compute conflict S_t = A_t − G_t (G_t = goal strength), control allocation C_t = argmax_C [E_success(C|S_t)·V_goal − Cost_control(C)] with E_success sigmoid in C·|S_t| and Cost_control quadratic. Subjective effort E_t modeled as linear/saturating function of |S_t| and C_t. 7) Model fitting: hierarchical Bayesian estimation (Stan/PyMC) jointly on behavior, physiology, and ratings; extract posterior A_t per trial. 8) Neural mapping: single-trial A_t as parametric regressor in GLMs for insula/amygdala; C_t regressors for dACC/dlPFC; test coupling (PPI/DCM) of A→control regions. 9) Preregister identifiability diagnostics and QC thresholds (VIF, ICC, motion, physio loss). 10) Deliverables: measurement templates, priors, preprocessing scripts, and simulation-based power estimates.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 and participants: Pilot studies: 12 participants per pilot to test logistics. Full behavioral: N=80–120, ≥150 trials/subject. EEG-only: N=30–50. fMRI: N=40–60, ≥200 usable trials or multi-session. Tasks: cognitive temptation N-back and handgrip sustain as in Methodology. Baselines: (1) opportunity-cost (OC) model that predicts effort from explicit OC cues and control allocation only; (2) null model predicting effort from objective difficulty alone. Ablation/comparisons: A-model (latent A_t included), OC-model (OC_t only), hybrid model (A_t + OC_t), measurement-model ablation (no cross-loadings vs cross-loading bifactor). Evaluation metrics: primary — trialwise subjective effort rating correlation and regression coefficients (posterior credible intervals) with A_t; incentive-compatible avoidance/choice rates; secondary — A_t recovery accuracy (simulation), model comparison ΔELPD via LOO-CV, WAIC, Bayes factors; physiological predictive R^2 for A_t; single-trial beta ICC for fMRI (reliability threshold ≥0.4); ROI activation contrasts (insula for A_t, dACC for C_t) with permutation TFCE or cluster FWE. Experimental setup: within-subject 2×2 factorial manipulations for cognitive task; metabolic matching for physical task with VO2 target ±10%; randomized social-support (supportive vs sham) and biofeedback blocks as causal perturbations. Predefined QC: exclude sessions with mean framewise displacement &gt;0.5mm or &gt;20% censored volumes; physio loss &gt;20% flags trial omission; missing microphen interviews handled by multiple imputation with measurement-error models. Model selection criteria: ΔELPD &gt;10 strong preference, Bayes factor &gt;10 strong evidence. Reporting: posterior predictive checks and parameter recovery results.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Identifiability and collinearity: high correlation between A_t and OC_t or between physiological markers can prevent reliable separation; cross-loading models may be unrecoverable at low SNR. 2) Physiological measurement failures: pupil, SCR, EMG, or VO2 sensors may have data loss or artifacts; physio loss &gt;20% reduces usable trials. 3) Single-trial neural reliability: fMRI single-trial betas may have low ICC, requiring larger Ns or multi-session designs. 4) Participant burden and attrition: many trials, microphen interviews, and VO2 measures increase dropout risk. 5) Ethical constraints: fasting and nociceptive cues are limited by safety rules, reducing effect size or generality. 6) Model misspecification: chosen process equations may not capture true control dynamics, causing biased inference. 7) Generalization limits: lab-induced temptations or mild nociception may not map to real-world effort experiences. 8) Compute and scaling: hierarchical Bayesian joint models with single-trial estimates and neuroimaging data are computationally intensive and require substantial compute resources for simulation and fitting.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