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history_therapy_framework</w:t>
      </w:r>
    </w:p>
    <w:p>
      <w:r>
        <w:t xml:space="preserve"> </w:t>
      </w:r>
    </w:p>
    <w:p>
      <w:pPr>
        <w:pStyle w:val="Heading2"/>
      </w:pPr>
      <w:r>
        <w:t>Title</w:t>
      </w:r>
    </w:p>
    <w:p>
      <w:r>
        <w:t>History Therapy: using curated historical worldviews and guided reflection to increase meaning in life and psychological well-being</w:t>
      </w:r>
    </w:p>
    <w:p>
      <w:r>
        <w:t xml:space="preserve"> </w:t>
      </w:r>
    </w:p>
    <w:p>
      <w:pPr>
        <w:pStyle w:val="Heading2"/>
      </w:pPr>
      <w:r>
        <w:t>Short Hypothesis</w:t>
      </w:r>
    </w:p>
    <w:p>
      <w:r>
        <w:t>Participants exposed to structured History Therapy (curated alternative historical worldviews plus guided reflective prompts) will show greater increase in Meaning in Life Questionnaire—Presence score at 1 month post‑intervention than participants exposed to a time‑matched Neutral History control.</w:t>
      </w:r>
    </w:p>
    <w:p>
      <w:r>
        <w:t xml:space="preserve"> </w:t>
      </w:r>
    </w:p>
    <w:p>
      <w:pPr>
        <w:pStyle w:val="Heading2"/>
      </w:pPr>
      <w:r>
        <w:t>Related Work</w:t>
      </w:r>
    </w:p>
    <w:p>
      <w:r>
        <w:t>Existing lines of work include narrative and life‑story therapies that aim to improve meaning by reshaping personal narratives; bibliotherapy and reading‑based interventions that use texts to prompt reflection; experimental studies showing that exposure to alternative perspectives can change attitudes and self‑concept; and methods for measuring narrative coherence, cognitive flexibility, and well‑being. Limitations in prior approaches are: many studies use passive or weak controls (no matched attention), limiting causal inference; curatorial content is often unpublished or non‑replicable, reducing reproducibility; novel mediator scales (for worldview alternatives) lack robust validation; few studies pre‑specify clustering by facilitator or measure coder reliability consistently; cultural sensitivity and trigger assessment are underdeveloped; and digital instrumentation and data governance for sharing text derivatives are rarely standardized.</w:t>
      </w:r>
    </w:p>
    <w:p>
      <w:r>
        <w:t xml:space="preserve"> </w:t>
      </w:r>
    </w:p>
    <w:p>
      <w:pPr>
        <w:pStyle w:val="Heading2"/>
      </w:pPr>
      <w:r>
        <w:t>Abstract</w:t>
      </w:r>
    </w:p>
    <w:p>
      <w:r>
        <w:t>This study tests History Therapy, an interdisciplinary intervention that pairs curated historical worldviews with structured guided reflection to promote meaning‑making and psychological well‑being. The primary aim is to evaluate whether short, replicable exposures to alternative historical perspectives plus reflective tasks increase presence of meaning at one month relative to an active, time‑matched Neutral History control. We will deliver a brief multi‑session program via a secure digital platform and measure mediators (narrative coherence, self‑concept clarity, cognitive flexibility, perspective‑taking, perceived worldview alternatives) at baseline, immediate post, and one month. Main contributions are (1) a reproducible vignette curation and trigger‑risk rubric; (2) pre‑registered multilevel analysis accounting for facilitator clustering; and (3) mediation tests linking history exposure to meaning via specific cognitive and narrative mechanisms. Expected outcome: evidence about efficacy, mediators, and feasibility to support a larger trial and provide a standardized protocol for ethically delivering worldview‑based therapeutic content.</w:t>
      </w:r>
    </w:p>
    <w:p>
      <w:r>
        <w:t xml:space="preserve"> </w:t>
      </w:r>
    </w:p>
    <w:p>
      <w:pPr>
        <w:pStyle w:val="Heading2"/>
      </w:pPr>
      <w:r>
        <w:t>Methodology</w:t>
      </w:r>
    </w:p>
    <w:p>
      <w:r>
        <w:t>1) Participants and screening: recruit adults who meet inclusion criteria and are below urgent risk thresholds (PHQ‑9 &lt;20 and PHQ‑9 item‑9 negative). 2) Randomization: stratified random assignment to History Therapy (HT) or Neutral History control, balanced by site and baseline MLQ‑P. 3) Intervention content: HT arm receives 4 weekly sessions. Each session: 300–600 word vetted historical vignette, short historian annotation, and 2–3 guided reflection prompts (examples: self‑distancing prompt, identity mapping, counterfactual). Neutral control receives matched factual vignettes and comprehension tasks (three factual summaries, one citation). 4) Delivery and safety: digital delivery with opt‑out, clinician gating for high trigger scores per a 0–18 trigger rubric. 5) Measures and timing: baseline, immediate post‑last session (mediators), and 1 month (primary outcome), plus 3/6/12 month follow‑ups. Main instruments: MLQ‑Presence, SCCS‑5 (self‑concept clarity), short Cognitive Flexibility Scale and jsPsych task, IRI perspective‑taking short form, Worldview Alternatives pilot scale, Ryff subscales, WHO‑5, PANAS. 6) Narrative coding: collect written narratives; blind coders rate Global Narrative Coherence 1–5; double‑code 25% for ICC. 7) Analysis plan: primary test via linear mixed model with fixed effects (time, condition, time×condition), covariates (baseline score, age, gender, baseline openness), and random intercepts for participant and facilitator. Mediation via multilevel SEM or product‑of‑coefficients with bootstrapped CIs. 8) Digital and governance: platform logs time‑on‑task and CEQ expectancy, stores encrypted raw text, computes de‑identified linguistic derivatives (e.g., LIWC counts) for analysis and sharing under a tiered DUA. Technical terms explained: MLQ‑P is a questionnaire measuring felt presence of life meaning; ICC (intraclass correlation) measures agreement between coders or clustering by facilitator; mediation estimates whether a change in a mediator explains part of the effect on outcome.</w:t>
      </w:r>
    </w:p>
    <w:p>
      <w:r>
        <w:t xml:space="preserve"> </w:t>
      </w:r>
    </w:p>
    <w:p>
      <w:pPr>
        <w:pStyle w:val="Heading2"/>
      </w:pPr>
      <w:r>
        <w:t>Experiments</w:t>
      </w:r>
    </w:p>
    <w:p>
      <w:r>
        <w:t>1) Pilot feasibility (n = 30): randomized 1:1 HT vs Neutral control; outcomes: retention, acceptability, session fidelity, scale alphas, coder ICC. Collect baseline, immediate post, 1 month. Use pilot estimates of within‑person SDs, mediator effect sizes, and facilitator ICCs. 2) Main randomized trial (provisional N = 300): recruitment target N = 300 (adjust after pilot). Inclusion: adults consented, PHQ‑9 &lt;20, no active psychosis/mania. Intervention: 4 weekly sessions as above. Baseline and outcome schedule: baseline, immediate post (mediators), 1 month (primary MLQ‑P), 3/6/12 months secondary. Baselines for comparison: Neutral History active control (matched reading time/grade). 3) Ablation 1 (within HT arm): randomize half of HT participants to self‑distancing prompts vs identity‑mapping prompts to test prompt type effect on mediators. 4) Ablation 2 (delivery mode): compare clinician‑facilitated HT vs self‑guided HT for a nested sample (n≈100) to estimate facilitator clustering effects. 5) Metrics: primary metric = difference in MLQ‑P change (Cohen's d) at 1 month; secondary metrics = mediator change scores, indirect effect sizes (product αβ), Ryff, WHO‑5, PANAS, task‑switch accuracy/reaction time, narrative coherence mean and ICC, Cronbach's alpha for scales, coder ICC. 6) Statistical tests and models: LMM for primary with random intercepts for participant and facilitator; control familywise error with primary pre‑specified and Hochberg for secondary families. Mediation via multilevel SEM with 5,000 bootstrap resamples for CIs. Report facilitator ICC and apply design effect DE = 1 + (m−1)*ICC when planning power. 7) Reliability and validation: validate Worldview Alternatives scale with EFA (exploratory factor analysis) in pilot, then CFA (confirmatory factor analysis) and Cronbach's alpha and test–retest (r) in a larger validation sample (target n≥200) before using as primary mediator in confirmatory analyses. 8) Baselines and data splits: pre‑register analysis scripts; use intention‑to‑treat primary analysis; per‑protocol secondary analyses excluding participants who shared materials.</w:t>
      </w:r>
    </w:p>
    <w:p>
      <w:r>
        <w:t xml:space="preserve"> </w:t>
      </w:r>
    </w:p>
    <w:p>
      <w:pPr>
        <w:pStyle w:val="Heading2"/>
      </w:pPr>
      <w:r>
        <w:t>Risk Factors And Limitations</w:t>
      </w:r>
    </w:p>
    <w:p>
      <w:r>
        <w:t>1) Measurement risks: the Worldview Alternatives scale is novel and may show weak reliability or unclear factor structure; pilot estimates may be unstable. 2) Attribution and safety: causally attributing rare adverse events to the intervention is difficult and may bias stopping decisions. 3) Facilitator clustering: nontrivial ICCs reduce effective sample size and require more participants; estimates may be imprecise. 4) Contamination: participants may share vignettes outside the study, diluting contrasts between arms; technical protections are imperfect. 5) Cultural and translation limits: translated materials may not be measurement‑equivalent, limiting cross‑language generalization. 6) Sampling and generalization: recruited samples (online or clinic) may not represent broader populations and findings may not generalize. 7) Ideological harm: exposure to historical worldviews could unintentionally increase endorsement of harmful ideas in a minority of participants. 8) Data/privacy constraints: storing audio/text requires stringent governance; redaction and sharing of text derivatives may limit reproducibility. 9) Computation and scalability: coding narratives and double‑rating require human resources and may not scale without substantial cost. 10) Statistical power: mediation with small indirect effects and clustering may demand larger N than feasible within planned budget.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