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sibhudu_single_indent_mechanics</w:t>
      </w:r>
    </w:p>
    <w:p>
      <w:r>
        <w:t xml:space="preserve"> </w:t>
      </w:r>
    </w:p>
    <w:p>
      <w:pPr>
        <w:pStyle w:val="Heading2"/>
      </w:pPr>
      <w:r>
        <w:t>Title</w:t>
      </w:r>
    </w:p>
    <w:p>
      <w:r>
        <w:t>Single-indentation measurement of hardness and stiffness to evaluate raw material selection and tool shape at Sibhudu</w:t>
      </w:r>
    </w:p>
    <w:p>
      <w:r>
        <w:t xml:space="preserve"> </w:t>
      </w:r>
    </w:p>
    <w:p>
      <w:pPr>
        <w:pStyle w:val="Heading2"/>
      </w:pPr>
      <w:r>
        <w:t>Short Hypothesis</w:t>
      </w:r>
    </w:p>
    <w:p>
      <w:r>
        <w:t>Specimen-level Young's modulus (E) and hardness (H) estimated from a single instrumented indentation test predict selection for and production of elongated tool morphologies at Sibhudu when controlling for availability and cortex.</w:t>
      </w:r>
    </w:p>
    <w:p>
      <w:r>
        <w:t xml:space="preserve"> </w:t>
      </w:r>
    </w:p>
    <w:p>
      <w:pPr>
        <w:pStyle w:val="Heading2"/>
      </w:pPr>
      <w:r>
        <w:t>Related Work</w:t>
      </w:r>
    </w:p>
    <w:p>
      <w:r>
        <w:t>Existing approaches measure mechanical properties of stone using multiple specialised methods: instrumented indentation with Oliver–Pharr reductions for hardness and reduced modulus, microhardness or Knoop/Vickers tests for surface hardness, ultrasonic or resonant methods for bulk elastic modulus, and separate fracture-toughness tests (e.g., compact tension or radial-crack K_IC from Vickers indents). Experimental-knapping studies link material behaviour to fracture outcomes. Limitations include: (1) multiple instruments and destructive sampling needed to obtain H, E and fracture toughness, increasing cost and damage; (2) reduced-modulus conversions require Poisson's ratio priors and are sensitive to assumptions and tip calibration; (3) microindentation radial-crack K_IC is unreliable for coarse-grained, heterogeneous rocks because cracks interact with grains; (4) pile-up or sink-in around indents biases contact area and H/E if not imaged and corrected; (5) scale effects produce load-dependent H and Er values that are rarely mapped systematically; (6) translation from laboratory fracture tests to knapping-scale outcomes lacks standardized calibration. These gaps make it hard to obtain reproducible, minimally invasive E/H estimates that predict archaeological form.</w:t>
      </w:r>
    </w:p>
    <w:p>
      <w:r>
        <w:t xml:space="preserve"> </w:t>
      </w:r>
    </w:p>
    <w:p>
      <w:pPr>
        <w:pStyle w:val="Heading2"/>
      </w:pPr>
      <w:r>
        <w:t>Abstract</w:t>
      </w:r>
    </w:p>
    <w:p>
      <w:r>
        <w:t>We propose a practical single-indentation protocol to obtain both hardness (H) and specimen-level Young's modulus (E) from stone tool raw materials at Sibhudu, enabling tests of whether mechanical properties guided raw material selection and tool shape. The method uses instrumented indentation combined with topographic imaging of each indent to correct for pile-up/sink-in, and Monte‑Carlo propagation of uncertainty in reduced modulus and Poisson's ratio to yield posterior E and H estimates per indent. A focused pilot will map load-dependence and imaging corrections, followed by cross-validation against ultrasonic and resonant bulk methods and fracture experiments on geological samples and epoxy replicas. We deliver hierarchical specimen-level estimates incorporating indent heterogeneity and propagate measurement error into Bayesian models linking E and H to tool morphology metrics. The main contribution is a reproducible, low-damage workflow that consolidates stiffness and hardness measurement into one test, quantifies uncertainty and bias, and provides empirically validated inputs for archaeological inference about raw material choice and knapping strategy at Sibhudu.</w:t>
      </w:r>
    </w:p>
    <w:p>
      <w:r>
        <w:t xml:space="preserve"> </w:t>
      </w:r>
    </w:p>
    <w:p>
      <w:pPr>
        <w:pStyle w:val="Heading2"/>
      </w:pPr>
      <w:r>
        <w:t>Methodology</w:t>
      </w:r>
    </w:p>
    <w:p>
      <w:r>
        <w:t>1) Sampling and metadata: collect geological reference blocks and archaeological artefacts (record provenance, GPS, curatorial ID, photos, surface condition). 2) Pilot indent schedule: perform multi-load pilot (0.1 N, 0.5 N, 2 N; extend to 0.05–5 N if needed) on 5–10 specimens per lithology to detect indent-size effects. 3) Instrument setup and calibration: warm instrument to thermal equilibrium, perform fused-silica reference indents daily, verify area-function and compliance, record tip ID. Oliver–Pharr reduction: fit unloading with power-law over 40–95% unload to obtain stiffness S, compute reduced modulus Er and hardness H. (Oliver–Pharr: a standard way to calculate contact area and stiffness from load–displacement curves.) 4) Poisson's ratio propagation: specify lithology priors for ν from petrography (mineral fractions and porosity), sample ν in Monte‑Carlo draws with Er uncertainty, and compute posterior E_sample via E_sample = (1 − ν^2) / [1/Er − (1 − ν_tip^2)/E_tip]. 5) Topographic imaging and pile-up correction: capture 3D surface topography around each indent (radius 5–10× contact radius) with confocal or white-light interferometry; segment indent and pile-up, compute pile-up height, volume and asymmetry index; apply correction factor to contact area and propagate correction uncertainty into Monte‑Carlo Er→E draws. (Pile-up: raised material around an indent that increases real contact area.) 6) Fracture proxies: on geological blocks or epoxy replicas run: microindentation crack-length methods (classify Palmqvist vs median cracks), single-flake force/displacement fracture tests, and where allowed small-beam SENB tests to bound toughness. 7) Specimen-level aggregation: combine indents per specimen into a hierarchical estimate of E and H that models indent-level measurement error and spatial heterogeneity. 8) Data formats and outputs: store full load–displacement curves, raw topography, area masks, QC flags, and metadata in CSV/JSON/HDF5/TIFF and publish code and data to an open repository. 9) Acceptance rules: flag or discard indents if fused-silica ref deviates &gt;5%, thermal drift &gt;0.05 nm/s, ASR &gt;0.10, pile-up asymmetry index &gt;0.25 or corrected area change ≥30%. 10) Definitions: reduced modulus Er is the combined stiffness of tip+sample from indentation; Poisson's ratio ν is how much a material narrows when stretched; area-function maps indenter contact geometry versus depth.</w:t>
      </w:r>
    </w:p>
    <w:p>
      <w:r>
        <w:t xml:space="preserve"> </w:t>
      </w:r>
    </w:p>
    <w:p>
      <w:pPr>
        <w:pStyle w:val="Heading2"/>
      </w:pPr>
      <w:r>
        <w:t>Experiments</w:t>
      </w:r>
    </w:p>
    <w:p>
      <w:r>
        <w:t>Datasets: Pilot: 5–10 geological specimens per lithology (silcrete, quartzite, hornfels, dolerite if present) × 8–12 indents each at multiple loads (0.1,0.5,2 N plus additional levels if needed). Archaeological sample: target 30 artifacts per lithology × 8–12 indents each for full study (refined by pilot). Baselines: ultrasonic pulse-velocity modulus, resonant ultrasound modulus, Vickers radial-crack K_IC proxy, and instrumented knapping fracture trials. Evaluation metrics: per-indent H and Er distributions, posterior E median and 95% credible interval, Bland–Altman bias and RMSE between indentation E and bulk methods, intraclass correlation coefficient (ICC) for within-specimen consistency, pass rate of indents meeting QC, predictive model metrics: Bayesian hierarchical regression R^2, RMSE, and AUC for classifying elongated tools (length/width threshold). Experimental setup: instrument settings documented (tip geometry, tip E_tip=1140 GPa, ν_tip=0.07, drift checks, area-function history). Imaging: confocal/white-light interferometry scans radius 5–10× contact radius; segmentation and pile-up metrics saved. Fracture tests: single-flake force/displacement on ≥20 trials per lithology×condition (heat-treated vs not); SENB or compact-tension on ≥2–3 blocks per lithology where allowed. Comparisons/ablations: (A) Compare indentation E to ultrasonic/resonant E (report Bland–Altman, RMSE); (B) Ablation: run model with and without pile-up correction to quantify bias in E and downstream morphology prediction; (C) Sensitivity: re-run Er→E conversion with three ν priors (narrow, medium, wide) to quantify posterior shifts. Pre-registered pilot stop criteria: pass rate ≥80% and intra-specimen ICC ≥0.7 required to proceed to full sampling. All experiments save raw L–D curves, topography, and QC images for reproducibility.</w:t>
      </w:r>
    </w:p>
    <w:p>
      <w:r>
        <w:t xml:space="preserve"> </w:t>
      </w:r>
    </w:p>
    <w:p>
      <w:pPr>
        <w:pStyle w:val="Heading2"/>
      </w:pPr>
      <w:r>
        <w:t>Risk Factors And Limitations</w:t>
      </w:r>
    </w:p>
    <w:p>
      <w:r>
        <w:t>1) Fracture behaviour not captured: single indentation cannot fully measure fracture toughness or crack propagation in heterogeneous rocks; fracture proxies may remain only comparative. 2) Scale and heterogeneity: grain size and anisotropy can cause load-dependent H and Er; specimen-level averaging may mask localized variability. 3) Pile-up/sink-in measurement limits: topography imaging may fail on rough or highly porous surfaces, producing discarded indents and reduced sample size. 4) Poisson's ratio uncertainty: ν priors derived from petrography add uncertainty and potential bias in E estimation. 5) Instrument and tip drift: area-function drift or tip blunting can bias results between calibrations. 6) Damage and curation limits: archaeological originals restrict working loads (≤1 N) and may force reliance on replicas, limiting direct inference. 7) Fracture-test generalization: knapping experiments and small-beam tests on sourced blocks may not scale exactly to archaeological flaking contexts. 8) Statistical power: true effect sizes linking E/H to morphology may be small and require larger samples than feasible. 9) Inter-lab reproducibility: SOP adherence and instrument differences may produce systematic offsets across labs. 10) Legal and ethical constraints: permit and curation rules may limit destructive sampling of geological or archaeological materials.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