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pygmalion_effect_ai</w:t>
      </w:r>
    </w:p>
    <w:p>
      <w:r>
        <w:t xml:space="preserve"> </w:t>
      </w:r>
    </w:p>
    <w:p>
      <w:pPr>
        <w:pStyle w:val="Heading2"/>
      </w:pPr>
      <w:r>
        <w:t>Title</w:t>
      </w:r>
    </w:p>
    <w:p>
      <w:r>
        <w:t>Mixed-method causal analysis of how cultural narratives and policy framing shape AI research activity and public perception</w:t>
      </w:r>
    </w:p>
    <w:p>
      <w:r>
        <w:t xml:space="preserve"> </w:t>
      </w:r>
    </w:p>
    <w:p>
      <w:pPr>
        <w:pStyle w:val="Heading2"/>
      </w:pPr>
      <w:r>
        <w:t>Short Hypothesis</w:t>
      </w:r>
    </w:p>
    <w:p>
      <w:r>
        <w:t>Increases in aggregated Pygmalion framing in films, news, and policy discourse cause a measurable rise in AI research activity—operationalized as topic share in publications and grant volume—within 12 months following high-exposure events compared to periods with neutral or Golem framing.</w:t>
      </w:r>
    </w:p>
    <w:p>
      <w:r>
        <w:t xml:space="preserve"> </w:t>
      </w:r>
    </w:p>
    <w:p>
      <w:pPr>
        <w:pStyle w:val="Heading2"/>
      </w:pPr>
      <w:r>
        <w:t>Related Work</w:t>
      </w:r>
    </w:p>
    <w:p>
      <w:r>
        <w:t>Prior work studies media framing, narrative effects, and policy feedback on technology using correlational analysis, sentiment tracking, and single-modality classifiers. Computational social science has applied event studies and difference-in-differences to policy shocks, but often assumes parallel trends and limited heterogeneity. Multimodal ML work detects themes in images and video but is typically English-centered, dataset-limited, and focused on accuracy rather than construct validity. Existing approaches lack: (1) an explicit, reproducible composite score for ‘Pygmalion’ vs ‘Golem’ framing; (2) robust causal identification across staggered, cross-jurisdictional events; (3) cross-lingual and multimodal validation of narrative measures; and (4) explicit linkage of narrative measures to concrete research outcomes (publications, grants, patents). These gaps limit causal inference, cross-cultural generalization, and policy relevance.</w:t>
      </w:r>
    </w:p>
    <w:p>
      <w:r>
        <w:t xml:space="preserve"> </w:t>
      </w:r>
    </w:p>
    <w:p>
      <w:pPr>
        <w:pStyle w:val="Heading2"/>
      </w:pPr>
      <w:r>
        <w:t>Abstract</w:t>
      </w:r>
    </w:p>
    <w:p>
      <w:r>
        <w:t>This study tests whether cultural narratives that elevate expectations about AI (the Pygmalion effect) causally influence AI research activity and public support for permissive policy. We construct a multilingual, multimodal corpus of films, news, social media, and policy texts and derive reproducible Pygmalion and Golem scores from annotated components (expectancy, agency, valence, metaphor prevalence). We combine validated multimodal classifiers with preregistered causal designs—staggered difference-in-differences, synthetic control, regression discontinuity where applicable, and instrumental-variable checks—to estimate effects of narrative exposures on measurable outcomes: topic share in publications, grant volumes, patent filings, hiring posts, and media coverage. Main contributions are (1) formal operational definitions and open scoring pipeline for Pygmalion/Golem framing, (2) cross-lingual multimodal validation and classifier calibration, and (3) an integrated causal estimation and robustness suite with pre-specified falsification tests. Expected outcome: quantifiable, reproducible estimates of how narrative shifts affect AI research and policy-relevant indicators over time.</w:t>
      </w:r>
    </w:p>
    <w:p>
      <w:r>
        <w:t xml:space="preserve"> </w:t>
      </w:r>
    </w:p>
    <w:p>
      <w:pPr>
        <w:pStyle w:val="Heading2"/>
      </w:pPr>
      <w:r>
        <w:t>Methodology</w:t>
      </w:r>
    </w:p>
    <w:p>
      <w:r>
        <w:t>1) Corpus assembly: collect multilingual multimodal items (films, TV, news, social posts, policy docs) with quotas for Chinese, Hindi, Arabic, Spanish, French, Russian, Portuguese, Japanese/Korean and ≥40% non-Western content. Store metadata, transcripts, and low-res derivatives. 2) Annotation and codebook: human annotate components per item: expectancy intensity (0–3), agency/anthropomorphism (0 none, 1 partial, 2 full), valence polarity (Pygmalion positive, Golem negative, Neutral), metaphor prominence (0–3). Use double annotation + third adjudicator; target Krippendorff’s α&gt;0.7. 3) Pygmalion/Golem score formula: compute Pygmalion score P = z(0.40*E + 0.30*A + 0.20*Vpos + 0.10*M) where E=expectancy (0–3), A=agency normalized (0–2), Vpos=positive valence indicator (1 if valence=Pygmalion else 0), M=metaphor prominence (0–3); z() denotes z-score normalization within language block. Golem score G is symmetric for negative valence: G = z(0.40*E + 0.30*A + 0.20*Vneg + 0.10*M) with Vneg=1 if valence=Golem. Weights reflect emphasis on explicit expectancy and perceived agency; weights are pre-registered and subject to sensitivity analyses. 4) Multimodal modeling: extract subtitle/script text embeddings (mT5/XLM-R), visual features (CLIP embeddings, shot-level descriptors, object/person detectors), and audio prosody embeddings; train multimodal classifier (late-fusion transformer) to predict components. Explainers: CLIP maps images and text into the same vector space; TimeSformer models temporal video frames. 5) Cross-lingual scaling: compute language-block z-scores and run multi-group confirmatory factor analysis (CFA) to test metric/scalar invariance; if full invariance fails use alignment or partial invariance and report adjustments. 6) Causal strategy: define events (premiere, wide release, policy announcement) and aggregate P/G scores by jurisdiction-month; pre-register staggered DiD (Callaway &amp; Sant'Anna and Sun &amp; Abraham) as primary estimator, synthetic controls for selected jurisdictions, RD where clear thresholds exist (e.g., funding cutoffs), and IV candidates (exogenous unrelated national events shifting attention). 7) Pre-specify placebo outcomes, E-values for sensitivity, BH-FDR correction for multiple comparisons, and all robustness checks in preregistration.</w:t>
      </w:r>
    </w:p>
    <w:p>
      <w:r>
        <w:t xml:space="preserve"> </w:t>
      </w:r>
    </w:p>
    <w:p>
      <w:pPr>
        <w:pStyle w:val="Heading2"/>
      </w:pPr>
      <w:r>
        <w:t>Experiments</w:t>
      </w:r>
    </w:p>
    <w:p>
      <w:r>
        <w:t>Datasets: Film/TV corpus (TMDb, festival lists, curated regional lists) n≈2,000 items; News corpus (GDELT/LexisNexis) monthly; Social media (Twitter/X IDs, Reddit, Weibo) with platform IDs and derived text; Policy corpus (EUR-Lex, government sites) 2000–2025; Research outputs: arXiv + Web of Science monthly counts and topic-model shares; Grants: Dimensions/OpenAlex monthly award amounts; Patents: USPTO/EPO monthly filings; Job postings: sampled hiring ads with AI keywords. Baselines: (A) text-only classifier, (B) naive keyword-count framing score, (C) no-framing null (time fixed effects only). Models and metrics: Classifier performance measured by macro F1, precision, recall, Brier score, and calibration plots; target deployment F1≥0.75 overall. Causal effect metrics: ATT (average treatment effect on treated) with cluster-robust SEs, 95% CI, p-values, and E-values. Temporal setup: aggregate P/G scores and outcomes to monthly jurisdiction-series; event definition: treatment month = wide release/policy announcement date; event window = [-12, +24] months; alternative windows pre-specified. Estimation: primary - Callaway &amp; Sant'Anna staggered DiD with cohort-specific ATTs, clustering at jurisdiction level; secondary - synthetic control for n=8 policy adoptions; RD applied where funding threshold exists (specify cutoff). Controls: time-varying confounders list (tech milestones, funding shocks, geopolitics, platform policy changes, measurement shifts). Ablations: (1) remove visual features from classifier; (2) remove non-Western languages; (3) vary Pygmalion weight vector by ±0.15 and rerun causal estimates; (4) compare staggered DiD vs simple DiD and synthetic control. Power/simulations: Monte Carlo simulate panel with 50 jurisdictions, AR(1) residuals, baseline noise σ estimated from pilot; compute minimum detectable ATT for 80% power at α=0.05 under staggered adoption patterns. Pre-registration: register all primary contrasts, multiple-comparison correction (BH-FDR) and falsification tests (negative-control outcomes: funding in unrelated STEM fields).</w:t>
      </w:r>
    </w:p>
    <w:p>
      <w:r>
        <w:t xml:space="preserve"> </w:t>
      </w:r>
    </w:p>
    <w:p>
      <w:pPr>
        <w:pStyle w:val="Heading2"/>
      </w:pPr>
      <w:r>
        <w:t>Risk Factors And Limitations</w:t>
      </w:r>
    </w:p>
    <w:p>
      <w:r>
        <w:t>Technical failure modes: multimodal classifiers may underperform on low-resource languages or degraded audio/video; component labels (expectancy, agency) may be subjective leading to lower inter-annotator reliability. Data and evaluation biases: film and news corpora may overrepresent Western productions despite quotas; platform APIs (social media) can be restricted or change TOU. Scalability and compute limits: full multimodal fine-tuning may require 10k–30k GPU hours and 30–60 TB storage, which may exceed available resources. Causal identification limits: exclusion restriction for candidate instruments may fail; staggered DiD requires credible parallel trends for some cohorts; unobserved confounders could bias estimates even after robustness checks. Generalization limits: results may not generalize across cultures if measurement invariance fails; Pygmalion/Golem scores are aggregate constructs and may mask heterogeneous local meanings. Legal and ethical constraints: copyrighted audiovisual material and privacy rules may restrict access to full raw data, limiting reproducibility of audiovisual analyses.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