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peircean_interpretant_grounding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Evaluating Peircean interpretant formation in large language models using persistent episodic memory and human validator-mediated interventions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Providing an LLM with a persistent, writable episodic memory plus human validator-mediated feedback causes durable indexical bindings to external referents that generalize across contexts, producing higher Retention Score and Indexical Sensitivity than stateless or session-buffered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shows that large language models (LLMs) excel at surface linguistic prediction but lack reliable indexical grounding: they map signs to tokens without durable links to external referents. Memory-augmented and retrieval-augmented models add external storage or retrieval but typically rely on session context or offline fine-tuning and do not demonstrate causally traceable, validator-updated interpretants. Probing methods (representational similarity, RSA/CKA, mutual information) and causal tools (causal tracing, activation patching, low-rank weight edits) identify candidate representations but often stop short of necessity/sufficiency proofs. Human-in-the-loop correction studies show improved behavior but rarely isolate durable, generalizing interpretants versus transient adaptation. Limitations in current approaches include reliance on open-weight architectures, weak controls for surface cues, insufficient adversarial/poisoning evaluations, and lack of preregistered thresholds and permutation-based inference to separate true indexical grounding from Clever-Hans effects.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LLMs reproduce linguistic surface patterns but often fail to form durable, referent-linked representations required for robust alignment; this is the "hall of mirrors" problem. We propose an empirical framework that tests whether adding a persistent, addressable episodic memory plus human validator-mediated write gating enables LLMs to instantiate Peircean interpretants—internal states that causally mediate sign→referent mappings and generalize across contexts. The approach operationalizes object (referent) and interpretant (memory entry), implements an intervention suite (mask/replace/transplant, frozen-weight replicas, low-rank patches), and uses representational and behavioral metrics (Retention Score, Indexical Sensitivity, RSA/CKA, kNN mutual information). Main contributions are: a preregisterable operational definition of interpretants, an experiment battery (textual anaphora, multimodal pointing, social validator loop), and concrete causal tests for necessity and sufficiency. Expected outcome: clear empirical criteria that distinguish transient, surface-driven behavior from durable semiotic grounding, enabling reproducible evaluation of whether LLMs can move beyond the hall of mirrors toward indexical, socially mediated epistemic participation.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1. Operational definitions: define Object R as a referent record {id, timestamp, sensor_snapshot, symbolic_props}. Define Interpretant I as a persistent, addressable memory entry or low-rank activation pattern that (a) mediates future sign→response mappings, (b) is modifiable by validator feedback, and (c) generalizes across contexts. 2. System families: implement Baseline (stateless replica), SessionBuffer (context-window only), EpisodicStore (key-value store with addressable slots, timestamps, provenance), and EpisodicStore+Validators (write gating by human validators with trust scores). 3. Intervention APIs: mask_memory(slot_id) to ablate, replace_memory(slot_id, vector) to inject, transplant_memory(source, target) to copy entries, and frozen_weights replica to block weight updates. 4. Representational probes: compute RSA/CKA between memory entries and sensor embeddings; estimate mutual information with bias-corrected kNN. Explain: RSA/CKA compare similarity patterns of two spaces; mutual information measures statistical dependence. 5. Causal tests: necessity (ablating I should collapse R-sensitive behavior) and sufficiency (patching I into naïve instance should restore behavior). 6. Behavioral batteries for closed models: design counterfactual prompt scaffolds and controlled replay proxies that test persistence without weight access. 7. Statistical inference: preregister primary endpoints, use permutation tests to build null distributions, bootstrap CIs for mediation sizes, and mixed-effects models for human arms. 8. Thresholds: propose primary thresholds (example: Retention Score difference d≥0.5, p&lt;0.01 BH-corrected; Indexical Sensitivity above 99th null percentile), to be calibrated with synthetic simulation implants.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Synthetic situated episodes with precise world states and sensor snapshots (images, poses, state vectors); 2) Multimodal referent datasets (Visual Genome-style scenes, MultiON-style referential sequences); 3) Textual temporal-anaphora corpus with controlled pronoun antecedents. Baselines: Baseline stateless LM replica; SessionBuffer (context-window only); OfflineFineTune (batch fine-tune with same corrective data); EpisodicStore without validator gating. Systems: run ≥20 random seeds per model family. Human arms: recruit N=80 participants per primary condition, ~200 trials per condition. Primary tasks: A) Text temporal-anaphora: single-item prompt series with context resets; B) Multimodal pointing/disambiguation: repeated utterances with referent swaps and one-time corrective validator feedback; C) Social epistemic loop: repeated label assignments with mixed trusted/adversarial validators. Interventions: for each task run necessity (mask_memory) and sufficiency (transplant_memory) tests, frozen_weights comparisons, and low-rank patching. Evaluation metrics: Retention Score (proportion of correct referent reuse after N interactions), Indexical Sensitivity (KL/JS divergence of outputs under object interventions), Referential Precision/Recall, Normative Uptake Rate (trusted vs adversarial), bias-corrected kNN MI, RSA/CKA scores, and Causal Mediation Effect Size (bootstrap CI). Statistical tests: mixed-effects models (Retention: glmer with SystemFamily*ValidatorType fixed effects; IndexicalSensitivity: lmer on log(KL+ε)), permutation p-values (2,000 permutations block-permuting referent labels within Participant×Session), BH correction, report effect sizes and 95% CIs. Ablations: remove validator gating; run OfflineFineTune only; use closed-model behavioral battery instead of memory transplant. Adversarial tests: label-swap poisoning with budgets (e.g., 5% flips per epoch, collusion fractions 10–50%), replay attacks, and high-rate write stress tests. Primary endpoints: Retention Score improvement d≥0.5 with p&lt;0.01 and Indexical Sensitivity exceeding 99th percentile of null permutation.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1. Closed-model infeasibility: patch/transplant and low-rank edits require weight access and may be impossible on proprietary LLMs; behavioral fallbacks may lack causal certainty. 2. False positives: representational similarity and MI can reflect shared dataset statistics rather than genuine indexical grounding. 3. Human validator risks: collusion, adversarial validators, and measurement error in trust scoring may bias results. 4. Causal assumptions: necessity/sufficiency tests assume no unmeasured confounders linking memory loci to behavior; violations can misattribute causality. 5. Compute and scale: running ≥20 seeds, multimodal pilots, and human arms requires significant GPU and annotation resources. 6. Generalization limits: results may not transfer across architectures, languages, or heavily out-of-distribution referents. 7. Privacy and IRB constraints: multimodal sensors and recordings create ethical and legal limits on data collection and sharing. 8. Adversarial robustness: stealth poisoning and slow-flip attacks may evade detection and compromise gating rules before rollback can occur.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