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llm_mentalhealth_survey_pipeline</w:t>
      </w:r>
    </w:p>
    <w:p>
      <w:r>
        <w:t xml:space="preserve"> </w:t>
      </w:r>
    </w:p>
    <w:p>
      <w:pPr>
        <w:pStyle w:val="Heading2"/>
      </w:pPr>
      <w:r>
        <w:t>Title</w:t>
      </w:r>
    </w:p>
    <w:p>
      <w:r>
        <w:t>Retrieval-augmented large language model pipeline for automated acute-risk triage, symptom extraction, and clinician decision support in mental health</w:t>
      </w:r>
    </w:p>
    <w:p>
      <w:r>
        <w:t xml:space="preserve"> </w:t>
      </w:r>
    </w:p>
    <w:p>
      <w:pPr>
        <w:pStyle w:val="Heading2"/>
      </w:pPr>
      <w:r>
        <w:t>Short Hypothesis</w:t>
      </w:r>
    </w:p>
    <w:p>
      <w:r>
        <w:t>A retrieval-augmented large language model (RAG-LLM) with calibrated uncertainty and provenance can reduce false negatives in acute-risk triage and improve PHQ-9 symptom extraction accuracy compared to non‑retrieval LLMs and rule-based baselines.</w:t>
      </w:r>
    </w:p>
    <w:p>
      <w:r>
        <w:t xml:space="preserve"> </w:t>
      </w:r>
    </w:p>
    <w:p>
      <w:pPr>
        <w:pStyle w:val="Heading2"/>
      </w:pPr>
      <w:r>
        <w:t>Related Work</w:t>
      </w:r>
    </w:p>
    <w:p>
      <w:r>
        <w:t>Prior approaches fall into three main categories: rule-based screening tools that use keywords or scoring rules on text, supervised classifiers and transformer models trained on annotated clinical or social media corpora for symptom and risk detection, and conversational or chatbot systems for mental health support. Recent LLM-based methods show improved language understanding and generative capabilities but often lack explicit grounding to sources, have poor calibration of predicted probabilities, and show hallucinations (fabricated or unsupported claims). Privacy-preserving training (federated learning and differential privacy) has been explored but typically with unclear utility trade-offs and limited disclosure-risk analysis. Evaluation of previous methods commonly emphasizes overall accuracy or AUC but neglects clinically critical metrics (false-negative rate for acute risk, per-group calibration) and claim-level provenance. Existing weaknesses include biased datasets, sparse clinical validation, insufficient provenance for recommendations, and limited methods for measuring hallucination or maintaining privacy with acceptable utility.</w:t>
      </w:r>
    </w:p>
    <w:p>
      <w:r>
        <w:t xml:space="preserve"> </w:t>
      </w:r>
    </w:p>
    <w:p>
      <w:pPr>
        <w:pStyle w:val="Heading2"/>
      </w:pPr>
      <w:r>
        <w:t>Abstract</w:t>
      </w:r>
    </w:p>
    <w:p>
      <w:r>
        <w:t>We present a retrieval-augmented large language model pipeline designed for three clinical tasks: automated acute-risk triage (suicidality, imminent self-harm, psychosis), measurement-based care via PHQ-9/GAD-7 cross-walk from text, and clinician decision support with evidence-linked recommendations. The system pairs a passage retriever and verifier with a generative LLM to ensure claim-level provenance. Outputs are calibrated for probability accuracy and expose uncertainty estimates for human-in-the-loop decisions. We propose concrete evaluation targets (acute-risk false-negative rate ≤5%, expected calibration error ≤0.10) and measurement protocols for hallucination (citation recall, provenance coverage, factuality F1). The main contribution is an integrated, reproducible pipeline that combines retrieval grounding, calibrated uncertainty, and privacy-aware training options (federated learning with differential privacy) with red-team adversarial testing. Expected outcomes are improved safety for automated triage, higher-fidelity symptom extraction, and transparent, auditable clinician recommendations that are measurable against operational safety thresholds.</w:t>
      </w:r>
    </w:p>
    <w:p>
      <w:r>
        <w:t xml:space="preserve"> </w:t>
      </w:r>
    </w:p>
    <w:p>
      <w:pPr>
        <w:pStyle w:val="Heading2"/>
      </w:pPr>
      <w:r>
        <w:t>Methodology</w:t>
      </w:r>
    </w:p>
    <w:p>
      <w:r>
        <w:t>1) Data curation and annotation: collect multi-site de-identified clinical notes, task corpora (CLPsych, DAIC-WOZ), and consented patient messages under DUAs. Create annotation schema mapping mentions to PHQ-9/GAD-7 items, risk indicators, provenance spans, and annotator confidence. Use dual annotators and adjudication. 2) Retrieval index: split source texts into passages, index with dense embeddings (vector store) and BM25 for hybrid retrieval. A passage is a small text unit (sentence or paragraph) used to ground claims. 3) Retriever and reranker: train a dense retriever (e.g., DPR-style) and a lightweight cross-encoder reranker to maximize recall@10 and precision@5. 4) Generator with grounding: feed retrieved passages as context into an LLM to produce classifications, PHQ-9 estimates, or concise histories. Ensure the model returns claim-level links to passage IDs. 5) Calibration and uncertainty: apply post-hoc calibration (temperature scaling or isotonic regression) to model probabilities and estimate epistemic uncertainty with model ensembles or Monte Carlo dropout. Calibration means predicted probabilities match observed outcome frequencies. 6) Privacy-aware training option: implement federated learning with secure aggregation and per-update clipping plus differential privacy accounting. Differential privacy (DP) adds noise to updates to limit memorization of individual records. 7) Human-in-the-loop rules: define abstention thresholds and escalation logic that require clinician review when confidence is low or provenance insufficient. 8) Evaluation harness and red-teaming: build automated metrics for detection, extraction, and factuality, plus an adversarial prompt bank to test hallucinations and crisis prompts. 9) Reproducibility: version datasets, model checkpoints, evaluation scripts, and produce dataset/model cards.</w:t>
      </w:r>
    </w:p>
    <w:p>
      <w:r>
        <w:t xml:space="preserve"> </w:t>
      </w:r>
    </w:p>
    <w:p>
      <w:pPr>
        <w:pStyle w:val="Heading2"/>
      </w:pPr>
      <w:r>
        <w:t>Experiments</w:t>
      </w:r>
    </w:p>
    <w:p>
      <w:r>
        <w:t>Datasets: MIMIC-IV clinical notes for pipeline development, CLPsych suicide risk corpora, DAIC-WOZ depression interviews, negotiated Crisis Text Line or helpline dialogues under DUAs, and a synthetic annotated benchmark mapped to PHQ-9 items. Baselines: (A) keyword/rule-based triage, (B) fine-tuned transformer classifier without retrieval, (C) LLM without retrieval grounding, (D) retrieval-augmented LLM without calibration, and (E) human-clinician labels (reference). Metrics: acute-risk detection: sensitivity, specificity, PPV, NPV, false-negative rate (FNR), AUC, per-group stratified metrics; calibration: expected calibration error (ECE), reliability diagrams; symptom extraction: token/slot F1 and exact match; PHQ-9 crosswalk: intraclass correlation (ICC) with clinician scores and mean absolute error; factuality: citation recall (fraction of claims with supporting passage), provenance coverage (percent of claim tokens grounded), factuality F1, abstention/refusal rate. Experimental setup: temporal train/validation/test splits to simulate deployment; cross-site holdout where one site is unseen at test time; per-group evaluation by race/age/language. Ablations: (1) RAG vs no-RAG to measure impact of retrieval on citation recall and hallucinations; (2) calibrated vs raw probabilities to measure change in ECE and FNR; (3) DP levels (ε in {0.1,1,8}) in federated training to measure utility vs privacy tradeoff (PHQ-9 ICC, detection FNR); (4) uncertainty method comparison (ensembles vs MC dropout). Statistical tests: bootstrap CIs for FNR differences, paired t-tests for ICC and MAE. Sample-size studies: replicate pilot power calc for PHQ-9 (detect 2-point mean diff, SD=6, α=0.05, power 0.8 → ~150 per arm) and simulate event-rate scenarios to evaluate required N to detect relative reductions in composite safety events (e.g., 3% baseline).</w:t>
      </w:r>
    </w:p>
    <w:p>
      <w:r>
        <w:t xml:space="preserve"> </w:t>
      </w:r>
    </w:p>
    <w:p>
      <w:pPr>
        <w:pStyle w:val="Heading2"/>
      </w:pPr>
      <w:r>
        <w:t>Risk Factors And Limitations</w:t>
      </w:r>
    </w:p>
    <w:p>
      <w:r>
        <w:t>Technical failure modes: high false-negative rates for rare acute events; model hallucinations producing unsupported clinical claims; calibration drift in nonstationary data. Data and evaluation biases: skewed demographics, annotation errors, limited positive examples for rare events, and low sample sizes in intersectional subgroups. Privacy and security constraints: DP utility loss at strong privacy (small ε), federated learning failure modes (poisoning, stragglers, aggregation faults), and remaining disclosure risk. Scalability and compute: dense retrieval + LLM inference is resource intensive for large indexes and high-throughput settings. Generalization limits: models trained on specific clinical settings or languages may not transfer to other institutions, age groups, or cultural expressions. Regulatory and operational limits: differing jurisdictional requirements (HIPAA/GDPR) may restrict data use and deployment. Evaluation limits: no single metric captures user trust or therapeutic alliance, and clinical outcomes like suicide attempts are rare and require very large samples to study robustly.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