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silesia_german_archive_impact</w:t>
      </w:r>
    </w:p>
    <w:p>
      <w:r>
        <w:t xml:space="preserve"> </w:t>
      </w:r>
    </w:p>
    <w:p>
      <w:pPr>
        <w:pStyle w:val="Heading2"/>
      </w:pPr>
      <w:r>
        <w:t>Title</w:t>
      </w:r>
    </w:p>
    <w:p>
      <w:r>
        <w:t>Mixed-methods empirical study of the social, affective, and personal impacts of the German Minority Research Center archive in Silesia</w:t>
      </w:r>
    </w:p>
    <w:p>
      <w:r>
        <w:t xml:space="preserve"> </w:t>
      </w:r>
    </w:p>
    <w:p>
      <w:pPr>
        <w:pStyle w:val="Heading2"/>
      </w:pPr>
      <w:r>
        <w:t>Short Hypothesis</w:t>
      </w:r>
    </w:p>
    <w:p>
      <w:r>
        <w:t>Participation in the German Minority Research Center's archival activities causes an increase in contributors' self-reported German language use and strength of German identity relative to comparable non-participants.</w:t>
      </w:r>
    </w:p>
    <w:p>
      <w:r>
        <w:t xml:space="preserve"> </w:t>
      </w:r>
    </w:p>
    <w:p>
      <w:pPr>
        <w:pStyle w:val="Heading2"/>
      </w:pPr>
      <w:r>
        <w:t>Related Work</w:t>
      </w:r>
    </w:p>
    <w:p>
      <w:r>
        <w:t>Prior work documents that community and independent archives support minority identity and language preservation and that oral-history interviews capture emotional and social meanings. Existing studies are often descriptive, single-method, and small-sample. Limitations include: lack of validated affect annotation in multilingual interviews, weak procedures for translation QA and authorial-voice preservation, limited mixed-methods integration tying affect signals to measurable social outcomes, sparse attention to GDPR re-contact/re-consent for legacy corpora, and under-specified sampling strategies that leave selection bias unaddressed. Technical gaps include limited evaluation of automatic speech recognition (ASR) in translanguaging contexts and few studies combining archival metadata with affective and language indices to produce reproducible metrics.</w:t>
      </w:r>
    </w:p>
    <w:p>
      <w:r>
        <w:t xml:space="preserve"> </w:t>
      </w:r>
    </w:p>
    <w:p>
      <w:pPr>
        <w:pStyle w:val="Heading2"/>
      </w:pPr>
      <w:r>
        <w:t>Abstract</w:t>
      </w:r>
    </w:p>
    <w:p>
      <w:r>
        <w:t>This study tests whether engagement with a minority community archive affects contributors' language use and identity. We analyze existing interviews from August 2024 and collect a small, targeted expansion (20–25 in-depth interviews plus a survey of ~50 respondents) to form a mixed dataset. We will produce bilingual verbatim transcripts, create a gold-standard affect-annotated subset, and compute indices: German Use Index, Affect Intensity Score, and Archive Centrality. Quantitative tests compare participants to matched non-participants while qualitative analysis links narratives and archival objects. Main contributions are: (1) a reproducible pipeline for bilingual transcription, translation QA, affect annotation, and index creation; (2) validated affect annotation and classifier results for German/Polish translanguaging data; and (3) an integrated mixed-methods analysis connecting affective signals to measurable changes in language use and identity. Expected outcomes include empirical estimates of archive impact and open, documented derivatives consistent with consent tiers.</w:t>
      </w:r>
    </w:p>
    <w:p>
      <w:r>
        <w:t xml:space="preserve"> </w:t>
      </w:r>
    </w:p>
    <w:p>
      <w:pPr>
        <w:pStyle w:val="Heading2"/>
      </w:pPr>
      <w:r>
        <w:t>Methodology</w:t>
      </w:r>
    </w:p>
    <w:p>
      <w:r>
        <w:t>1) Data sources: two parts — (A) analyze the existing August 2024 interview corpus (re-contact and re-consent each participant as required by GDPR), and (B) collect 20–25 additional purposive interviews and a short survey (N≈50) to fill gaps in age, language use, and contributor role. 2) Recruitment and consent: use purposive stratified sampling (elders, mid-generation, youth, volunteers, donors, diaspora). Re-consent 2024 participants with tiered options (anonymized research use; restricted community access; public display). 3) Recording and transfer: capture audio masters (WAV 24-bit/48 kHz), transfer via secure SFTP, store in EU servers with AES-256 encryption (AES-256 is a strong encryption standard; it keeps files unreadable without the key). 4) Transcription and translation: run ASR as a draft, then human-correct bilingual transcripts. Use parallel original-language text and English glosses. Back-translate 10–15% of segments for QA. 5) Annotation: build an affect codebook (discrete emotions + intensity 1–5). Create a gold-standard by manually annotating 20–30% of transcripts with three bilingual annotators. Measure agreement with Krippendorff's alpha (a statistic that measures how much annotators agree beyond chance). 6) Indices: compute German Use Index (proportion of speech in German across domains), Affect Intensity Score (mean intensity across emotion tags), and Archive Centrality (weighted engagement score from donations, visits, authorship). 7) Analysis: (a) quantitative — compare participants vs matched non-participants using regression and effect sizes (Cohen's d); (b) qualitative — thematic analysis of narratives and linkage to archival items; (c) mixed-methods — joint displays that map indices to case narratives. 8) Reproducibility and provenance: version code and notebooks (Git), containerize environment (Docker) to make analyses reproducible, and record PREMIS/PROV logs for archival provenance (these are standard records that show how digital objects were created and changed).</w:t>
      </w:r>
    </w:p>
    <w:p>
      <w:r>
        <w:t xml:space="preserve"> </w:t>
      </w:r>
    </w:p>
    <w:p>
      <w:pPr>
        <w:pStyle w:val="Heading2"/>
      </w:pPr>
      <w:r>
        <w:t>Experiments</w:t>
      </w:r>
    </w:p>
    <w:p>
      <w:r>
        <w:t>Datasets: (1) August 2024 interview corpus (existing interviews; variable N), (2) New interviews N=20–25, (3) Survey N≈50. Baselines: (A) non-participant group matched by age and region (survey respondents without archive engagement), (B) transcript pipeline baseline using ASR-only transcripts, (C) affect classifier baseline trained only on single-language data. Evaluation metrics: - Language outcomes: change in German Use Index (proportion), group difference tested with t-test and linear regression controlling for age and education; report Cohen's d and 95% CI. - Identity outcomes: validated self-report identity scale difference; same statistical tests. - Annotation reliability: Krippendorff's alpha for affect categories; target reported. - Classifier performance: precision, recall, F1 for each emotion label, and macro F1; report confusion matrices. - ASR quality: word error rate (WER) by language segment and translanguaging segments. Experimental setup: 1) Preprocessing: produce bilingual manual-corrected transcripts. 2) Gold-standard: annotate 20–30% of transcripts with three annotators; adjudicate disagreements to create final labels. 3) Train/test split: 5-fold cross-validation for affect classifier using gold-standard labels; reserve a held-out test set (20% of gold standard). 4) Comparisons/ablations: - Ablation A: classifier trained on bilingual annotated gold-standard vs classifier trained on single-language annotated subset. - Ablation B: analysis using ASR-only transcripts vs human-corrected transcripts to measure impact on indices and classifier performance. - Causal test: where possible, use a difference-in-differences design if pre/post measures exist for participants and matched controls; otherwise use propensity-score matching for cross-sectional comparisons. 5) Statistical reporting: p-values, effect sizes, and bootstrap 95% confidence intervals. 6) Outputs: report index computations, classifier metrics, WER breakdowns, and joint-display figures linking indices to qualitative excerpts.</w:t>
      </w:r>
    </w:p>
    <w:p>
      <w:r>
        <w:t xml:space="preserve"> </w:t>
      </w:r>
    </w:p>
    <w:p>
      <w:pPr>
        <w:pStyle w:val="Heading2"/>
      </w:pPr>
      <w:r>
        <w:t>Risk Factors And Limitations</w:t>
      </w:r>
    </w:p>
    <w:p>
      <w:r>
        <w:t>1) Data frame uncertainty: existing August 2024 consent may not cover new uses; some participants may decline re-consent, reducing sample size. 2) Small sample size: 20–25 interviews limit statistical power for quantitative claims; survey N≈50 is modest and may not support fine-grained subgroup inference. 3) Selection bias: participants who engage with the archive may differ systematically (motivation, education) from non-participants. 4) ASR failure: automatic transcription may have high WER in translanguaging segments, increasing manual correction time. 5) Annotation bias: affect labels are culturally embedded and annotators may disagree; alpha targets may not be met for ambiguous categories. 6) Legal constraints: GDPR and Polish archival law may restrict reuse, cross-border transfer, or public release of identifiable material. 7) Minors and safeguarding: if minors are relevant, additional approvals, parental consent, and safeguarding requirements apply; excluding minors limits intergenerational claims. 8) Resource limits: bilingual transcription, back-translation, and annotation are time-consuming and costly. 9) Generalization limits: findings from a single regional minority archive may not generalize to other minority contexts. 10) Emotional burden: annotators and community members handling sensitive content may face emotional strain.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