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impact_vc_tactics</w:t>
      </w:r>
    </w:p>
    <w:p>
      <w:r>
        <w:t xml:space="preserve"> </w:t>
      </w:r>
    </w:p>
    <w:p>
      <w:pPr>
        <w:pStyle w:val="Heading2"/>
      </w:pPr>
      <w:r>
        <w:t>Title</w:t>
      </w:r>
    </w:p>
    <w:p>
      <w:r>
        <w:t>Mixed-methods ethnographic and computational analysis of how impact venture capitalists operationalize contested impact definitions during market entry, fundraising, and founder engagement</w:t>
      </w:r>
    </w:p>
    <w:p>
      <w:r>
        <w:t xml:space="preserve"> </w:t>
      </w:r>
    </w:p>
    <w:p>
      <w:pPr>
        <w:pStyle w:val="Heading2"/>
      </w:pPr>
      <w:r>
        <w:t>Short Hypothesis</w:t>
      </w:r>
    </w:p>
    <w:p>
      <w:r>
        <w:t>Higher rigidity of limited partner (LP) impact metrics causes impact venture capitalists (GPs) to increase use of tactical translation maneuvers (measured as reductions in semantic distance between founder pitches and LP taxonomy language) during deal sourcing and fundraising.</w:t>
      </w:r>
    </w:p>
    <w:p>
      <w:r>
        <w:t xml:space="preserve"> </w:t>
      </w:r>
    </w:p>
    <w:p>
      <w:pPr>
        <w:pStyle w:val="Heading2"/>
      </w:pPr>
      <w:r>
        <w:t>Related Work</w:t>
      </w:r>
    </w:p>
    <w:p>
      <w:r>
        <w:t>Existing research documents ethical tensions in impact investing and problems measuring social and environmental outcomes. Organizational ethnography has been used to study everyday practices, and textual embedding methods have been applied to measure narrative alignment. Prior approaches either (1) rely on high-level surveys and policy analysis that miss in-situ tactical behavior, or (2) use text similarity measures without ethnographic grounding or without mapping those measures to concrete decisions. Limitations include weak operational definitions of 'tactic', limited validation of text-based proxies across languages and genres, sparse integration of LP constraint documents with on-the-ground practice, and inadequate privacy-preserving pipelines for sensitive deal data. These gaps prevent causal linking from LP rules to GP behaviors and from GP tactics to deal outcomes.</w:t>
      </w:r>
    </w:p>
    <w:p>
      <w:r>
        <w:t xml:space="preserve"> </w:t>
      </w:r>
    </w:p>
    <w:p>
      <w:pPr>
        <w:pStyle w:val="Heading2"/>
      </w:pPr>
      <w:r>
        <w:t>Abstract</w:t>
      </w:r>
    </w:p>
    <w:p>
      <w:r>
        <w:t>Impact venture capital firms must translate contested ideas of social and environmental impact into deals, markets, and founder relationships. This project studies how impact VCs use everyday tactical maneuvers to align founders and limited partners (LPs) and to access new markets and capital. We combine multi-sited ethnographic shadowing, semi-structured interviews, and document collection with a reproducible coding rubric that operationalizes 'tactic' into observable indicators. We pair qualitative codes with computational measures: sentence-embedding semantic distance to capture narrative translation and coded variables for metrics-play, governance intervention, and market entry tactics. We then link tactics to behavioral outcomes (deal closure, capital mobilized) and exploit external policy or mandate shocks for quasi-experimental identification. Main contributions are (1) a validated, operational definition of tactic for impact VC, (2) a mixed-methods pipeline mapping rich field data to numeric variables, and (3) calibrated semantic measures validated across languages and genres. Expected outcome: empirically grounded insight into how LP constraints shape GP tactics and deal outcomes.</w:t>
      </w:r>
    </w:p>
    <w:p>
      <w:r>
        <w:t xml:space="preserve"> </w:t>
      </w:r>
    </w:p>
    <w:p>
      <w:pPr>
        <w:pStyle w:val="Heading2"/>
      </w:pPr>
      <w:r>
        <w:t>Methodology</w:t>
      </w:r>
    </w:p>
    <w:p>
      <w:r>
        <w:t>1) Units and sampling: define three units—episode (single interaction or pitch), deal (transaction outcome), and firm/person (GP or LP). Sample multi-site: 4 regions × 4 firms = 16 firms; within each firm shadow 2–4 practitioners and collect 20–30 interviews per regional cluster. 2) Field data collection: conduct participant observation (shadowing), audio interviews, and collect decks, emails, side letters, and term sheets under tiered consent. 3) Coding rubric: implement the three-tier schema (Descriptive acts, Relational strategy/tactic attribution, Normative/ethical reflection). For each code provide observable primitives and decision traces (e.g., language edits in pitch decks for Tactical_Translation; bespoke KPI insertion for Metrics_Play). 4) Mapping to analytic variables: convert codes to numeric variables (binary presence, ordinal intensity 0–3, timestamps, actor IDs). 5) NLP semantic_distance: compute sentence embeddings using SBERT models (sentence‑BERT) to measure cosine similarity between founder pitch text and LP taxonomy text. Explain: an embedding is a numeric vector that captures sentence meaning; cosine similarity measures how close two vectors are. Preprocess: remove PII, sentence-split, TF-IDF weighted sentence aggregation. 6) Reliability: train coders 16–24 hours, double-code 20–30% during pilot, compute Cohen's kappa aiming ≥0.75, adjudicate disagreements. 7) Anonymization: assign synthetic persistent IDs, salted-hash join keys (hash = fixed algorithm + secret salt), store mapping in dual-custodian encrypted vault. 8) Data linkage and analysis: merge coded episodes, documents, and outcomes into a master table for statistical models.</w:t>
      </w:r>
    </w:p>
    <w:p>
      <w:r>
        <w:t xml:space="preserve"> </w:t>
      </w:r>
    </w:p>
    <w:p>
      <w:pPr>
        <w:pStyle w:val="Heading2"/>
      </w:pPr>
      <w:r>
        <w:t>Experiments</w:t>
      </w:r>
    </w:p>
    <w:p>
      <w:r>
        <w:t>Datasets: (A) Field episodes: target 200–300 coded episodes per regional cluster (total 800–1200 episodes). (B) Deal outcomes: coded deals per firm cluster 30–100. (C) Surveys: invite ~500 GPs (expect ≈200 usable) and ~260 LPs (expect ≈75–80 usable). (D) LP documents: policy and side-letter corpus per firm. Baselines: (1) strategy-only baseline where only formal documents mark impact alignment, (2) text-only baseline using raw lexical overlap, (3) no-semantic model using only coded binary tactic presence. Evaluation metrics: Cohen's kappa for coding reliability, Spearman correlation for semantic_distance vs human judgments, AUC for classification of tactical translation events, multilevel logistic regression coefficients and odds ratios for tactic → deal closure, RMSE for continuous outcomes (capital mobilized), and pre-trend diagnostics for quasi-experiments. Main models: multilevel logistic regression (deal closed ~ tactic_intensity + fund covariates + firm and year random effects), linear models for capital mobilized, and difference-in-differences (DiD) around exogenous shocks (e.g., EU SFDR rollout). Ablation study: compare full model (codes + semantic_distance) vs ablated model (codes only) to measure added value of semantic_distance. Robust checks: add matching on fund observables, include ICC-adjusted standard errors for clustered data, and apply Benjamini-Hochberg correction for multiple tests. Experimental setup: pre-register primary tests and covariates, use 5-fold cross-validation for predictive tasks, and hold out 15% blind set for final evaluation.</w:t>
      </w:r>
    </w:p>
    <w:p>
      <w:r>
        <w:t xml:space="preserve"> </w:t>
      </w:r>
    </w:p>
    <w:p>
      <w:pPr>
        <w:pStyle w:val="Heading2"/>
      </w:pPr>
      <w:r>
        <w:t>Risk Factors And Limitations</w:t>
      </w:r>
    </w:p>
    <w:p>
      <w:r>
        <w:t>1) Selection bias: brokered access may over-represent cooperative firms and under-represent adversarial tactics; results may not generalize. 2) Measurement error: coder drift, ambiguous boundary cases between strategy and tactic, and imperfect NLP proxies (embeddings may fail for domain jargon or non-English text). 3) Cross-lingual limits: semantic_distance calibration requires large human-judgment samples per language; small strata reduce reliability. 4) Causal ID limits: quasi-experiments rely on plausibly exogenous shocks; unobserved confounders may bias DiD and IV estimates. 5) Privacy and utility tradeoffs: differential privacy or synthetic data may reduce analytic fidelity, limiting downstream inference. 6) Compute and scaling: embedding large document corpora and DP mechanisms require substantial compute and storage. 7) Legal/IRB constraints: multi-jurisdictional approvals and NDA redactions may restrict access to key documents. 8) Generalization: findings from selected regional clusters and fund sizes may not extend to other geographies, institutional types, or later market conditions.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