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consumption_populism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discourse and quasi-experimental study of how business leader populist logic shapes consumer behavior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a business leader's populist rhetoric causes an increase in actual purchases and self-reported preference for the leader's neo-swadeshi products relative to neutral messaging, mediated by increases in collective pride and outgroup otherization.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spans three strands: (1) theories of populism that explain how leaders construct 'the people' and 'enemies' using discursive chains; (2) consumer culture and marketing studies showing how identity appeals and branding influence purchase; and (3) computational and affective work that detects emotion and persuasion in multimodal media. Limitations across these strands include limited cross-talk between political-discursive theory and market-level causal analysis, scarce multimodal annotation schemes grounded in non-Western vernaculars (e.g., Hindi/Hinglish), weak causal identification at the market scale (few studies combine randomized micro-experiments with quasi-experimental market inference), and insufficient ethnographic grounding to interpret affective signals. Computational models often rely on lexicons or single-modality features and underperform on code-mixed text and spectacle video. Prior work also lacks rigorous ethics procedures for biometric or crowd data.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introduces and tests the concept of 'consumption populism': a discursive process by which business leaders use populist logic and affective practices to shape consumer identity and market outcomes. We combine multimodal discourse annotation, ethnographic fieldwork, randomized experiments, and quasi-experimental market inference to link leader rhetoric to consumer choices. The core contributions are (1) a theory-grounded, multimodal coding scheme that operationalizes otherization, homogenization, and hegemony; (2) a reproducible computational pipeline for Hindi/Hinglish speech, text, image, and video; and (3) an empirical identification strategy that triangulates message-level causal effects (RCTs and mediation tests) with regional market effects (synthetic control, interrupted time series, and DiD). Expected outcomes include validated measures of affective mediation, robust estimates of market-share shifts attributable to consumption populism, and a publicly documented annotation schema and synthetic derivatives for reproducible research. The work informs debates on political-cultural persuasion, business ethics, and consumer vulnerability.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collection: gather multimodal public materials (speeches, spectacle video, ads, public social-media posts), retail-site photos, and panel sales/scanner time series. Use only public sources unless explicit consent obtained. 2) Annotation: build a theory-linked codebook mapping Laclauian nodal points (otherization, homogenization, hegemony), discrete and collective affect codes (anger, pride, disgust, solidarity), and marketing/practice tags. Train human annotators on Label Studio with a seed of 4,000–6,000 multimodal items; hold out 15% validation. 3) Computational preprocessing: run ASR (speech-to-text), OCR for images, language detection and normalization for code-mixed Hindi/Hinglish, and frame extraction for video. Explain technical terms: ASR converts audio to text; OCR reads text in images. 4) Modeling: fine-tune an Indic multilingual transformer (IndicBERT) for discourse and emotion classification (text); use CLIP-style image-text embeddings to align visuals and copy; use OpenFace or similar tool for facial action coding and openSMILE for audio prosody features. 5) Causal designs: (a) Randomized controlled trials (RCTs) that manipulate presence/absence of populist frames and spectacle visuals to estimate message → affect → behavior (mediation analysis). (b) Quasi-experimental market inference using synthetic control, interrupted time series, and panel DiD for regional/product-level hegemony effects. 6) Ethnography integration: use a sequential explanatory design where fieldwork identifies emic categories and refines codebook, and quantitative results guide targeted qualitative follow-ups. 7) Governance: containerize pipeline (Docker), version code and annotations, pre-register estimands and thresholds, and produce synthetic derivatives for sharing.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Multimodal pilot corpus: public speeches, spectacle recordings, ads, 3 months of social media posts, and 200 retail-site photos. (B) Panel sales/scanner data: weekly category market share at district level (Nielsen/IRI or equivalent), 24+ pre-treatment weeks preferred. (C) Population panels: online probabilistic panel stratified by urban/rural, caste, and income. Baselines: (1) lexicon-only emotion classifier, (2) topic-model baseline (BERTopic), (3) unimodal text-only IndicBERT. Evaluation metrics: annotation F1 per class, macro-F1, precision/recall, classifier ROC-AUC, market-share delta (percentage points), difference-in-differences (DiD) ATT estimates with cluster-robust SEs, synthetic-control gap and RMSPE, mediation indirect effect and bootstrapped CI, and false-discovery rate (FDR) adjusted p-values. RCT setup: between-subjects design manipulating (i) otherization framing present vs absent, (ii) spectacle visuals present vs neutral, (iii) affect intensity high vs low. Sample sizes: behavioral purchase tasks n=400–800 per arm to detect d≈0.25–0.35 with 80% power; survey experiments n=1,200–2,000 for 5–10 pp shifts. Pre-treatment windows and causal tests: require minimum 24 weekly pre-treatment periods for synthetic control or DiD where available; cluster SEs at the district/market level; adjust multiple hypotheses using Benjamini-Hochberg. Ablation studies: (A) remove multimodal visual features to quantify loss in classifier performance; (B) remove affect cues from stimuli to test mediation; (C) compare synthetic control vs staggered DiD estimators (Callaway &amp; Sant’Anna) on same outcomes. Holdout: keep a locked 15% validation set for model selection and a separate 10% time/space holdout for policy-effect robustness.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poor ASR/OCR on code-mixed Hindi/Hinglish, low classifier accuracy on rare or nuanced affect codes, and degraded multimodal alignment. Data biases: non-representative panel samples, missing scanner data, and language/vernacular coverage gaps. Scalability: compute and storage demands for video processing and biometric feature extraction. Generalization limits: findings may not generalize beyond the specific cultural and political context (e.g., Hindu-nationalist neo-swadeshi campaigns) or to other countries. Ethical and legal constraints: DUAs may restrict raw sales/scanner data sharing; biometric and crowd data are highly sensitive. Safety risks: political or reputational exposure for field teams and participants in contested contexts. Evaluation limits: confounding from concurrent marketing spend, supply shocks, or regulatory changes that can mimic hegemony effects. Method bias: pretrained Indic models may encode social biases; facial/physiological tools may perform unevenly across skin tones and cultural affect displays.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