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ai_concealment_authentic_assessment</w:t>
      </w:r>
    </w:p>
    <w:p>
      <w:r>
        <w:t xml:space="preserve"> </w:t>
      </w:r>
    </w:p>
    <w:p>
      <w:pPr>
        <w:pStyle w:val="Heading2"/>
      </w:pPr>
      <w:r>
        <w:t>Title</w:t>
      </w:r>
    </w:p>
    <w:p>
      <w:r>
        <w:t>Mixed-methods field evaluation of student use and concealment of generative AI in online assessments and the effect of authentic process-based assessment design</w:t>
      </w:r>
    </w:p>
    <w:p>
      <w:r>
        <w:t xml:space="preserve"> </w:t>
      </w:r>
    </w:p>
    <w:p>
      <w:pPr>
        <w:pStyle w:val="Heading2"/>
      </w:pPr>
      <w:r>
        <w:t>Short Hypothesis</w:t>
      </w:r>
    </w:p>
    <w:p>
      <w:r>
        <w:t>Replacing product-focused online assessments with authentic, process-weighted tasks (iterative data-analysis briefs and constrained production plus viva) causes a reduction in undisclosed use of generative AI compared to standard product-focused assessments.</w:t>
      </w:r>
    </w:p>
    <w:p>
      <w:r>
        <w:t xml:space="preserve"> </w:t>
      </w:r>
    </w:p>
    <w:p>
      <w:pPr>
        <w:pStyle w:val="Heading2"/>
      </w:pPr>
      <w:r>
        <w:t>Related Work</w:t>
      </w:r>
    </w:p>
    <w:p>
      <w:r>
        <w:t>Existing work divides into two dominant approaches: detection-focused methods that apply automated signals (text-similarity, perplexity, stylometry) to flag AI-generated content, and pedagogical redesign that changes assessment types to foreground process and provenance. Detection methods show moderate success but suffer from high false-positive rates, language and device confounds, limited transparency, and privacy/legal concerns. Pedagogical approaches have promising theoretical benefits for authenticity and learning, but empirical evaluations are sparse, small-scale, and rarely instrumented to measure covert AI use or disclosure behaviour. Prior mixed-methods studies often lack validated ground truth, use limited logging granularity, and ignore equity impacts for international and non-native speakers. No existing approach simultaneously provides (1) validated operating characteristics for detection signals, (2) human-review protocols that minimise harm, and (3) experimental evidence comparing detection-focused and authentic-assessment outcomes while controlling for language proficiency and device confounds.</w:t>
      </w:r>
    </w:p>
    <w:p>
      <w:r>
        <w:t xml:space="preserve"> </w:t>
      </w:r>
    </w:p>
    <w:p>
      <w:pPr>
        <w:pStyle w:val="Heading2"/>
      </w:pPr>
      <w:r>
        <w:t>Abstract</w:t>
      </w:r>
    </w:p>
    <w:p>
      <w:r>
        <w:t>Generative AI creates new risks for academic integrity because students can use and conceal AI in online assessments. This study tests whether authentic, process-weighted assessment designs reduce undisclosed AI use and support learning compared to standard product-focused assessments. We propose a mixed-methods field evaluation combining instrumented task logging, indirect and direct surveys, a validation subsample with consented high-fidelity traces, and semi-structured interviews. Two pilot authentic tasks (an iterative data-analysis brief with staged submissions and decision logs; and a constrained production task with a short viva) will be compared to product-focused controls. Analytics will surface concealment behaviours using temporal and interaction features; human review will follow a three-tier escalation protocol with conservative false-positive targets. Main contributions are (1) validated performance estimates of log-based signals, (2) an auditable human-review and governance pipeline, and (3) empirical evidence on how authentic tasks affect undisclosed AI use, disclosure rates, and learning outcomes. Expected outcomes include lower undisclosed AI prevalence under authentic tasks, transparent operating characteristics for detection signals, and guidance for equitable assessment design.</w:t>
      </w:r>
    </w:p>
    <w:p>
      <w:r>
        <w:t xml:space="preserve"> </w:t>
      </w:r>
    </w:p>
    <w:p>
      <w:pPr>
        <w:pStyle w:val="Heading2"/>
      </w:pPr>
      <w:r>
        <w:t>Methodology</w:t>
      </w:r>
    </w:p>
    <w:p>
      <w:r>
        <w:t>1. Pilot design: run a controlled pilot in taught courses. Two authentic tasks: (A) iterative data-analysis brief with staged submissions, decision logs, and a short walkthrough video; (B) constrained production with a 30–60 minute viva where students explain choices. Include a control group using standard product-focused assessments. Randomise at the class or section level if feasible. 2. Consent and tiers: obtain core consent for logging and addenda for high-risk captures (screen/keystroke) with opt-in for a validation subsample. 3. Logging and minimal features: collect timestamped edit snapshots (every 20–30s), paste/copy events with byte sizes, browser focus/blur/tab-switch events, file-upload and submission timestamps, LMS navigation clicks, device type and basic network metadata, and self-reported language proficiency. Explain: edit snapshots are periodic saved copies of the student's draft; focus/blur track when the browser tab is active. 4. Surveys and indirect methods: run direct self-report items plus randomized-response and list-experiment modules to estimate underreporting. Explain: randomized-response is a privacy technique that lets respondents answer sensitive questions indirectly. 5. Validation subsample: recruit 10–15 consenting students for high-fidelity traces (screen recordings and keystroke typestate) to create labeled cases. Keystroke typestate is a timing pattern of key presses that can indicate typing vs pasted text. 6. Labeling protocol: define a positive label as concrete evidence of externally generated content used in assessment (e.g., paste of AI output, corroborated by timeline and student admission). Use dual independent raters for each candidate case; if raters disagree, employ a third adjudicator. 7. Analytics pipeline: (a) unsupervised steps—change-point detection and clustering on temporal/interaction features to surface anomalies; (b) supervised classifiers trained on validation labels using interpretable models (logistic regression, decision trees, gradient-boosted trees) with post-hoc explanation tools (SHAP values) to explain feature contributions. Explain: SHAP assigns an importance value to each feature for a prediction. 8. Evaluation of operating characteristics: compute ROC, precision-recall, and one-sided exact binomial confidence intervals for false-positive and false-negative rates. 9. Human-review escalation: implement Tier 1 (informational), Tier 2 (confidential human review + non-punitive follow-up), Tier 3 (governance board review) with conservative FP target ≤5% at flag level. 10. Pre-registration and reproducibility: pre-register the protocol with primary/secondary outcomes, feature lists, model families, thresholds, and retraining/versioning rules; containerise code and keep audit logs of model versions and human-review decisions. 11. Qualitative work: conduct 30–40 purposive interviews and 6–8 focus groups to probe concealment rationales, ethical framing, and cultural differences. 12. Explainability and reporting: produce an operating-characteristics report and a public description of features and limitations without sharing identifiable logs.</w:t>
      </w:r>
    </w:p>
    <w:p>
      <w:r>
        <w:t xml:space="preserve"> </w:t>
      </w:r>
    </w:p>
    <w:p>
      <w:pPr>
        <w:pStyle w:val="Heading2"/>
      </w:pPr>
      <w:r>
        <w:t>Experiments</w:t>
      </w:r>
    </w:p>
    <w:p>
      <w:r>
        <w:t>Datasets: (1) Instrumented pilot course dataset: N=30–40 students performing authentic tasks; (2) Validation subsample: n=10–15 consenting with high-fidelity traces for initial labels; (3) Survey sample: N=300–500 respondents including oversample of international students; (4) Matched control dataset of product-focused assessments (same or prior course sections). Baselines: (A) product-focused assessment condition (control), (B) detection-only pipeline using standard text-based detectors (perplexity, stylometry), (C) self-report only. Models and features: temporal features (time-to-first-edit, active time, idle gaps), revision dynamics (revision count, paste magnitude), interaction patterns (tab-switch rate), linguistic trajectory features (embedding distance between drafts), and meta-features (device, language proficiency). Model families: logistic regression, random forest, gradient-boosted trees (e.g., XGBoost), and autoencoder-based anomaly detector (VAE). Evaluation metrics: disclosure rate (proportion self-reporting AI use), undisclosed-use prevalence (estimate combining indirect methods and labeled logs), false-positive rate (FP), false-negative rate (FN), AUC-ROC, precision@k, calibration (Brier score), rubric inter-rater reliability (ICC), learning gains (pre/post rubric score difference), subgroup fairness metrics (DIF, equalized odds difference, calibration by group). Statistical tests and setup: - Primary test: compare undisclosed-use prevalence between authentic-task and control groups using mixed-effects logistic regression with random intercepts for course section and covariates (language proficiency, device type); report odds ratio, 95% CI, and p-value. - FP/FN precision: compute one-sided exact binomial confidence intervals for FP and FN on validation labels; require FP upper CI bound ≤0.05 at revalidation. - Learning outcomes: compare pre-post rubric scores with mixed-effects linear models controlling covariates. - Calibration and subgroup tests: run DIF analyses (IRT or MIMIC), compute equalized odds and calibration gaps across language and international status. Ablation studies: (1) Remove process-weight from rubric to measure effect on disclosure and learning; (2) Vary logging granularity: snapshots at 5s vs 30s vs no snapshots to measure signal loss; (3) Remove validation subsample labels and measure degradation in FP/FN. Cross-validation and replication: use nested cross-validation for supervised models; report mean and SD of metrics across folds. Revalidation: after initial pilot, collect at least n=30 additional labeled cases for revalidation and recompute operating characteristics. Power and sample guidance: for medium effects (d=0.5) plan ~64 per group; for small effects (d=0.2) plan ~394 per group; cluster design corrections applied using design effect = 1 + (m−1)*ICC.</w:t>
      </w:r>
    </w:p>
    <w:p>
      <w:r>
        <w:t xml:space="preserve"> </w:t>
      </w:r>
    </w:p>
    <w:p>
      <w:pPr>
        <w:pStyle w:val="Heading2"/>
      </w:pPr>
      <w:r>
        <w:t>Risk Factors And Limitations</w:t>
      </w:r>
    </w:p>
    <w:p>
      <w:r>
        <w:t>1. Label noise and small validation sample: validation subsample (n=10–15) yields wide confidence intervals for FP/FN; initial operating estimates may be imprecise. 2. False positives: automated signals could flag legitimate student work, causing reputational or wellbeing harms if misused. 3. Privacy and legal risk: screen and keystroke capture raise heightened privacy concerns and may be restricted by institutional or jurisdictional rules. 4. Sampling and response bias: participants who opt into validation or surveys may differ systematically, limiting generalisability. 5. Equity and confounds: features may correlate with language proficiency, device type, or cultural writing norms and produce biased detection performance. 6. Adversarial behaviour: students may learn to evade signals, reducing detection durability. 7. Scalability and cost: high-fidelity validation and human-review are resource intensive and may not scale beyond pilots. 8. External validity: results from specific courses, disciplines, or institutions may not generalise to other educational settings. 9. Model overfitting: complex models trained on limited labeled data may not transfer; this limits reliability of operating characteristics. 10. Ethical/legal constraints: inability to secure non-punitive institutional guarantees may force anonymised or indirect methods only, reducing ground-truth quality.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