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ssh_ethics_review_reform</w:t>
      </w:r>
    </w:p>
    <w:p>
      <w:r>
        <w:t xml:space="preserve"> </w:t>
      </w:r>
    </w:p>
    <w:p>
      <w:pPr>
        <w:pStyle w:val="Heading2"/>
      </w:pPr>
      <w:r>
        <w:t>Title</w:t>
      </w:r>
    </w:p>
    <w:p>
      <w:r>
        <w:t>A mixed-methods study using group interviews and an experimental survey to evaluate Swedish social science and humanities researchers' responses to ethical review reforms</w:t>
      </w:r>
    </w:p>
    <w:p>
      <w:r>
        <w:t xml:space="preserve"> </w:t>
      </w:r>
    </w:p>
    <w:p>
      <w:pPr>
        <w:pStyle w:val="Heading2"/>
      </w:pPr>
      <w:r>
        <w:t>Short Hypothesis</w:t>
      </w:r>
    </w:p>
    <w:p>
      <w:r>
        <w:t>Exposure to a reform package consisting of a proportionate review pathway, disciplinary peer panels, and an advisory pre-review will cause higher researcher-perceived procedural fairness and greater stated willingness to submit SSH research protocols than exposure to the current standard ethical review procedure.</w:t>
      </w:r>
    </w:p>
    <w:p>
      <w:r>
        <w:t xml:space="preserve"> </w:t>
      </w:r>
    </w:p>
    <w:p>
      <w:pPr>
        <w:pStyle w:val="Heading2"/>
      </w:pPr>
      <w:r>
        <w:t>Related Work</w:t>
      </w:r>
    </w:p>
    <w:p>
      <w:r>
        <w:t>Existing literature documents mismatches between biomedical-centered ethics review systems and SSH research practices, critiques of one-size-fits-all review, and proposals such as proportionate review, disciplinary reviewers, and advisory pre-review. Empirical studies are limited, often small-scale, and concentrated in non-Swedish contexts. Prior work typically lacks controlled evaluation of reform components, seldom measures researcher acceptability quantitatively, and rarely integrates legal feasibility assessments with researchers' perceptions. There is also limited guidance on anonymization risks specific to rare attribute combinations in small SSH populations. Overall, gaps include few experimental comparisons of review models, sparse evidence on trade-offs between speed, protection, and acceptability, and inadequate documentation of translation/back-translation effects on quoted meanings.</w:t>
      </w:r>
    </w:p>
    <w:p>
      <w:r>
        <w:t xml:space="preserve"> </w:t>
      </w:r>
    </w:p>
    <w:p>
      <w:pPr>
        <w:pStyle w:val="Heading2"/>
      </w:pPr>
      <w:r>
        <w:t>Abstract</w:t>
      </w:r>
    </w:p>
    <w:p>
      <w:r>
        <w:t>This study investigates how Swedish social science and humanities (SSH) researchers perceive different ethical review arrangements and whether specific reforms increase perceived fairness and willingness to use formal review channels. We combine seven semi-structured group interviews with an experimental online survey that randomizes researchers to scenarios: current review or reform components (proportionate pathway, disciplinary panels, advisory pre-review) and a full reform package. Qualitative data will be analyzed with a transparent codebook and CAQDAS; quantitative outcomes are perceived procedural fairness, intention to submit protocols, and simulated time-to-decision. Legal feasibility, administrative cost, and researcher acceptability of reforms will be assessed using a three-dimension matrix informed by DPIA outputs. The main contribution is an evidence-based comparison of reform components, producing prioritized, legally grounded recommendations for Swedish SSH ethical review. Expected outcomes include measured effects of reforms on researcher attitudes and a ranked set of feasible reform options for policy makers.</w:t>
      </w:r>
    </w:p>
    <w:p>
      <w:r>
        <w:t xml:space="preserve"> </w:t>
      </w:r>
    </w:p>
    <w:p>
      <w:pPr>
        <w:pStyle w:val="Heading2"/>
      </w:pPr>
      <w:r>
        <w:t>Methodology</w:t>
      </w:r>
    </w:p>
    <w:p>
      <w:r>
        <w:t>1) Design overview: mixed-methods combining qualitative group interviews and a randomized survey experiment. 2) Recruitment: purposive maximum-variation sampling for interviews (18 researchers in seven groups balanced by career stage, method, and discipline); broader online recruitment for the survey (stratified by career stage and method). 3) Group interviews: semi-structured guide, vignettes, ground rules, anonymous inputs (paper/Slido), audio recording, verbatim Swedish transcription. 4) Data protection: DPIA, DMP, explicit informed consent, pseudonymization post-transcription, encrypted storage, Legal Specialist review of high-risk quotes. 5) Qualitative analysis: build CAQDAS project (NVivo/Atlas.ti), three coding rounds (open, focused, final), develop codebook with inclusion/exclusion rules, double-code a proportion of transcripts, compute Krippendorff's alpha for agreement. (Krippendorff's alpha is a statistical measure of coder agreement; values closer to 1 mean higher agreement.) 6) Quantitative experiment: random assignment to control or intervention scenarios; measure outcomes via validated Likert scales and behavioral intention items. 7) Reform assessment: apply a three-dimension matrix (legal feasibility, administrative cost/benefit, researcher acceptability) with 1-3 scoring per dimension; produce ranked priorities. 8) Validation: member-check (summary + ranked reforms) and a two-round Delphi in a stakeholder workshop. 9) Translation: selected quotes translated to English with back-translation checks and logged paraphrase decisions. 10) Reflexivity: short reflexivity templates for interviewers and coders documenting stance and potential biases.</w:t>
      </w:r>
    </w:p>
    <w:p>
      <w:r>
        <w:t xml:space="preserve"> </w:t>
      </w:r>
    </w:p>
    <w:p>
      <w:pPr>
        <w:pStyle w:val="Heading2"/>
      </w:pPr>
      <w:r>
        <w:t>Experiments</w:t>
      </w:r>
    </w:p>
    <w:p>
      <w:r>
        <w:t>1) Participants: online survey N=120 researchers stratified into 4 arms (n=30 per arm) by career stage and method. Arms: Control (current standard ethical review), A (proportionate review pathway only), B (disciplinary peer panels only), C (advisory pre-review only), and an optional full-package arm if sample allows (split accordingly). 2) Randomization: simple random assignment within strata. 3) Materials: standardized vignettes describing review workflow and timelines for each arm; validated Likert scales for procedural fairness (1-7), perceived protectiveness (1-7), and intention to submit (1-7). 4) Baselines: current review arm serves as baseline. 5) Metrics: primary = mean procedural fairness score; secondary = intention-to-submit score, simulated time-to-decision (in days), and ranking of reform priorities. 6) Statistical tests: ANOVA across arms for primary metric; pairwise t-tests with Bonferroni correction; report Cohen's d effect sizes and 95% confidence intervals; significance threshold p&lt;0.05. 7) Power: n=30 per arm targets detection of d≈0.5 with 80% power. 8) Qualitative follow-up: purposive subsample (n=18 across 7 groups) for in-depth group interviews; code prevalence compared across participants exposed to different arms (ablation): compare thematic presence for each reform component. 9) Coding reliability: double-code 25% of transcripts in pilot, 20% mid-cycle; compute Krippendorff's alpha per parent code, report alphas. 10) Ablation study: compare arms A, B, C to isolate component effects; if full-package arm is included, compare it to single-component arms to measure additive effects.</w:t>
      </w:r>
    </w:p>
    <w:p>
      <w:r>
        <w:t xml:space="preserve"> </w:t>
      </w:r>
    </w:p>
    <w:p>
      <w:pPr>
        <w:pStyle w:val="Heading2"/>
      </w:pPr>
      <w:r>
        <w:t>Risk Factors And Limitations</w:t>
      </w:r>
    </w:p>
    <w:p>
      <w:r>
        <w:t>1) Sampling and response bias: purposive recruitment and online experiments risk self-selection and low response rates, limiting representativeness. 2) Ecological validity: vignette-based scenarios may not capture real behavior in actual ethical review submissions. 3) Small qualitative sample: depth over breadth limits generalizability. 4) Social desirability: participants may underreport critical views in group settings. 5) Identifiability: rare combinations of attributes may allow re-identification despite pseudonymization. 6) Legal constraints: some reform proposals may be infeasible under current Swedish law or trigger formal Etikprövningsmyndigheten requirements. 7) Coder reliability: low-frequency codes may yield low agreement and unstable alphas. 8) Translation effects: paraphrasing and back-translation may alter nuance of quotes. 9) Computational limits: CAQDAS processing and secure storage require institutional approvals and may slow workflows. 10) Scale limits: sample size for the survey may be insufficient to detect small effect sizes or interactions across multiple attributes.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