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scat_review_comments_jp</w:t>
      </w:r>
    </w:p>
    <w:p>
      <w:r>
        <w:t xml:space="preserve"> </w:t>
      </w:r>
    </w:p>
    <w:p>
      <w:pPr>
        <w:pStyle w:val="Heading2"/>
      </w:pPr>
      <w:r>
        <w:t>Title</w:t>
      </w:r>
    </w:p>
    <w:p>
      <w:r>
        <w:t>Applying the SCAT qualitative method to ethics-committee review comments on non-medical research in Japan</w:t>
      </w:r>
    </w:p>
    <w:p>
      <w:r>
        <w:t xml:space="preserve"> </w:t>
      </w:r>
    </w:p>
    <w:p>
      <w:pPr>
        <w:pStyle w:val="Heading2"/>
      </w:pPr>
      <w:r>
        <w:t>Short Hypothesis</w:t>
      </w:r>
    </w:p>
    <w:p>
      <w:r>
        <w:t>Preserving Japanese honorifics and explicit stance metadata in a SCAT coding workflow causes a measurable increase of at least 0.10 in Cohen's kappa for primary conceptual labels compared with a SCAT workflow that omits honorifics and stance.</w:t>
      </w:r>
    </w:p>
    <w:p>
      <w:r>
        <w:t xml:space="preserve"> </w:t>
      </w:r>
    </w:p>
    <w:p>
      <w:pPr>
        <w:pStyle w:val="Heading2"/>
      </w:pPr>
      <w:r>
        <w:t>Related Work</w:t>
      </w:r>
    </w:p>
    <w:p>
      <w:r>
        <w:t>Prior work on ethics-committee review practices in Japan and qualitative study of committee texts primarily uses manual thematic analysis or general qualitative frameworks and often focuses on medical research. Existing SCAT applications show how a short, systematic coding pipeline can produce concise themes, but prior uses typically do not document bilingual translation/back-translation workflows, stance/honorific preservation, or quantifiable inter-rater reliability targets. Automated topic models and generic coding approaches have been used as baselines, but they fail to capture politeness, directive tone, and institutional citation embedded in Japanese reviewer language. Current gaps include weak reproducibility (few reliability metrics reported), limited privacy-aware publication practices for small corpora, and scarce triangulation (few studies combine minutes, member interviews, and community validation).</w:t>
      </w:r>
    </w:p>
    <w:p>
      <w:r>
        <w:t xml:space="preserve"> </w:t>
      </w:r>
    </w:p>
    <w:p>
      <w:pPr>
        <w:pStyle w:val="Heading2"/>
      </w:pPr>
      <w:r>
        <w:t>Abstract</w:t>
      </w:r>
    </w:p>
    <w:p>
      <w:r>
        <w:t>Non-medical research ethics committees in Japan produce review comments rich in cultural nuance (honorifics, hedging, directive tone) that shape decisions but are under-studied. This project applies the SCAT (Steps for Coding and Theorization) qualitative method to a corpus of Japanese ethics-committee review comments to map salient ethical concerns and operational review patterns. The approach codes text in Japanese, records metadata for honorifics and stance, uses parallel literal and naturalized translations with back-translation provenance, and synthesizes SCAT-derived labels into thematic maps and exemplar matrices. The main contribution is an operationalized, reproducible SCAT workflow that quantifies coding reliability and evaluates how stance-preserving practices affect agreement. Expected outcomes are: (1) a validated codebook for non-medical ethics review comments, (2) reproducible thematic outputs (maps and matrices), and (3) empirical evidence on the effect of stance preservation on inter-rater reliability and on disclosure risk for public exemplars.</w:t>
      </w:r>
    </w:p>
    <w:p>
      <w:r>
        <w:t xml:space="preserve"> </w:t>
      </w:r>
    </w:p>
    <w:p>
      <w:pPr>
        <w:pStyle w:val="Heading2"/>
      </w:pPr>
      <w:r>
        <w:t>Methodology</w:t>
      </w:r>
    </w:p>
    <w:p>
      <w:r>
        <w:t>1) Approvals and data: obtain written data-custodian permission, IRB determination or exemption, and log a DPIA-style record. 2) Sampling: build calibration set of 50–100 comments and main corpus of 300 (min) to 1,000 comments across 3 recent years; include all review rounds and reviewer roles; exclude administrative-only notes. 3) Data prep: redact direct identifiers; store analytic corpus in a secure enclave VM. 4) SCAT coding steps (SCAT explained simply): (a) extract in-vivo tokens — pick original words/phrases that stand out; (b) paraphrase tokens to short keywords — write simple synonyms in plain words; (c) create conceptual labels — group paraphrases into concise idea labels; (d) synthesize themes — combine labels into higher-level themes and short storylines. 5) Operational rules: code in original Japanese; attach metadata tags per comment for honorific level, hedging, imperative/directive tone, reviewer role, action category (clarify/revise/conditional approval/reject/approve), and severity (low/medium/high). 6) Translation protocol: forward translation by primary coder, independent back-translation for ≥25% of corpus and 100% of candidate public exemplars; keep literal and naturalized translations plus an annotation line for stance. 7) Calibration and reliability: double-code calibration set 100%; then double-code 20% of main corpus; measure Cohen's kappa and Krippendorff's alpha for conceptual and action/severity labels. 8) Memoing and synthesis: coders write short memos per batch noting ambiguous stance tokens; consolidator produces thematic maps and an exemplar matrix (label × excerpt) with provenance metadata. 9) Outputs: codebook, calibration report, thematic maps, exemplar matrix, audit trail.</w:t>
      </w:r>
    </w:p>
    <w:p>
      <w:r>
        <w:t xml:space="preserve"> </w:t>
      </w:r>
    </w:p>
    <w:p>
      <w:pPr>
        <w:pStyle w:val="Heading2"/>
      </w:pPr>
      <w:r>
        <w:t>Experiments</w:t>
      </w:r>
    </w:p>
    <w:p>
      <w:r>
        <w:t>Dataset: redacted ethics-committee reviewer comments from one Japanese university, calibration N=50–100, main corpus experiments at N=300 and N=1,000. Baselines: (A) SCAT without honorific/stance metadata (standard SCAT), (B) automated topic model (LDA) on Japanese text, (C) proposed SCAT with stance/honorific tags and translation/back-translation provenance. Evaluation metrics: Cohen's kappa for primary conceptual labels, Krippendorff's alpha for multi-label items, precision/recall/F1 for action/severity labels against adjudicated gold standard, percent agreement for procedural tags, and disclosure metrics (k-anonymity cell sizes, simulated re-identification attack success rate). Experimental setup: 1) Train coders with the 50–100 calibration set; double-code 100% calibration and compute baseline reliability. 2) For N=300 and N=1,000 corpora, double-code 20% randomly sampled items; compute metrics for each method A,B,C. 3) Ablation studies: (i) remove back-translation (compare C vs C-no-backtrans), (ii) remove honorific/stance tags (compare C vs A), (iii) vary calibration size (50 vs 100) and measure change in kappa. 4) Statistical tests: bootstrap CIs for kappa differences; report effect sizes and p-values for kappa improvement ≥0.10. 5) Disclosure testing: run simulated linkage attacks using public quasi-identifiers and report minimal k observed and attack success rates for published exemplars. Secure environment: all experiments run in closed VM; provenance logs saved.</w:t>
      </w:r>
    </w:p>
    <w:p>
      <w:r>
        <w:t xml:space="preserve"> </w:t>
      </w:r>
    </w:p>
    <w:p>
      <w:pPr>
        <w:pStyle w:val="Heading2"/>
      </w:pPr>
      <w:r>
        <w:t>Risk Factors And Limitations</w:t>
      </w:r>
    </w:p>
    <w:p>
      <w:r>
        <w:t>1) Technical failure modes: inconsistent coder interpretation of nuanced honorifics and hedging; translation/back-translation may still miss stance subtleties. 2) Data biases: single-university corpus may not generalize to other institutions or regions; reviewer roles may be unevenly represented. 3) Small-N disclosure risk: sparse or unique combinations of metadata may prevent safe anonymization; k-anonymity thresholds may be unattainable for some exemplars. 4) Measurement limits: Cohen's kappa can be sensitive to label prevalence, producing misleading values for rare labels. 5) Scalability: manual SCAT coding and rigorous back-translation are labor-intensive and slow for large corpora. 6) Legal/regulatory constraints: APPI or institutional rules may restrict data access or public exemplar release, limiting reproducibility. 7) Triangulation limits: access to meeting minutes or member interviews may be denied, weakening validation options. 8) Generalization: results reflect non-medical review practices at sampled institution(s) and may not apply to medical research or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