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risk_perception_homogeneity</w:t>
      </w:r>
    </w:p>
    <w:p>
      <w:r>
        <w:t xml:space="preserve"> </w:t>
      </w:r>
    </w:p>
    <w:p>
      <w:pPr>
        <w:pStyle w:val="Heading2"/>
      </w:pPr>
      <w:r>
        <w:t>Title</w:t>
      </w:r>
    </w:p>
    <w:p>
      <w:r>
        <w:t>Text mining of corporate risk‑factor disclosures to quantify perception homogeneity and estimate effects on financial interconnectedness and systemic risk</w:t>
      </w:r>
    </w:p>
    <w:p>
      <w:r>
        <w:t xml:space="preserve"> </w:t>
      </w:r>
    </w:p>
    <w:p>
      <w:pPr>
        <w:pStyle w:val="Heading2"/>
      </w:pPr>
      <w:r>
        <w:t>Short Hypothesis</w:t>
      </w:r>
    </w:p>
    <w:p>
      <w:r>
        <w:t>Increases in sector-level homogeneity of firms' disclosed risk perceptions cause larger systemic risk outcomes (higher SRISK and tail expected loss) within six months via more correlated asset sales and funding shortfalls.</w:t>
      </w:r>
    </w:p>
    <w:p>
      <w:r>
        <w:t xml:space="preserve"> </w:t>
      </w:r>
    </w:p>
    <w:p>
      <w:pPr>
        <w:pStyle w:val="Heading2"/>
      </w:pPr>
      <w:r>
        <w:t>Related Work</w:t>
      </w:r>
    </w:p>
    <w:p>
      <w:r>
        <w:t>Prior work uses disclosure text to measure firm risk topics and shows that risk language clusters by sector and time. Network and systemic‑risk literature links exposures, common asset holdings, and funding interdependence to tail losses. Existing approaches are limited in three ways: (1) extraction pipelines are often validated on small or unlabeled corpora and do not report per-category precision/recall or calibration; (2) homogeneity metrics are constructed without propagating text‑classification error into downstream inference; (3) causal links from perceptions to systemic outcomes are tested with coarse identification (correlations or simple panel regressions) rather than a preregistered event/IV strategy or robust small‑sample inference. These gaps leave open uncertainty about measurement bias, hedging/boilerplate effects, taxonomy sensitivity, and credible causal identification.</w:t>
      </w:r>
    </w:p>
    <w:p>
      <w:r>
        <w:t xml:space="preserve"> </w:t>
      </w:r>
    </w:p>
    <w:p>
      <w:pPr>
        <w:pStyle w:val="Heading2"/>
      </w:pPr>
      <w:r>
        <w:t>Abstract</w:t>
      </w:r>
    </w:p>
    <w:p>
      <w:r>
        <w:t>We propose a reproducible pipeline that extracts firms' perceived risks from regulatory risk‑factor text, quantifies within‑ and across‑sector homogeneity, and tests whether higher homogeneity increases systemic financial risk. We combine a validated annotation gold set, multiple NLP extraction pipelines (rule‑based lexicon, FinBERT fine‑tuning, SBERT clustering), and a hedging detector to form salience‑weighted firm risk vectors. We compute cosine, Jensen–Shannon, and entropy‑based homogeneity indices, normalize them for comparability, and propagate extraction error via Monte‑Carlo/SIMEX into econometric tests. Identification uses synthetic control as the primary method for sector shocks and staggered difference‑in‑differences and shift‑share IVs as robustness checks. We embed homogeneity into an ensemble of imputed exposure networks (M=50) and run contagion simulations (R=1,000 per imputation) to link perception homogeneity to systemic metrics (SRISK, MES, DebtRank). Expected outcome: validated, policy‑relevant evidence on whether and how common risk perceptions amplify systemic fragility, plus open, containerized artifacts for replication.</w:t>
      </w:r>
    </w:p>
    <w:p>
      <w:r>
        <w:t xml:space="preserve"> </w:t>
      </w:r>
    </w:p>
    <w:p>
      <w:pPr>
        <w:pStyle w:val="Heading2"/>
      </w:pPr>
      <w:r>
        <w:t>Methodology</w:t>
      </w:r>
    </w:p>
    <w:p>
      <w:r>
        <w:t>1) Data collection: retrieve corporate filings (risk factor sections from 10‑K, 10‑Q, 8‑K or local equivalents) and link to market data (stock returns, CDS, bond spreads), holdings (13F, filings of major asset managers), and flows (mutual fund flows). 2) Annotation: build a stratified gold set targeting ~300 labeled risk‑mentions per sector×jurisdiction cell (expand to 500–800 for priority cells). Double‑annotate 20% of samples; target Cohen’s kappa/Krippendorff’s alpha ≥0.70 for mention detection and ≥0.75 for category mapping; adjudicate with senior annotators. 3) Extraction pipelines: implement three pipelines: (a) rule‑based lexicon for baseline, (b) FinBERT fine‑tuned on the gold set for span detection and category classification, (c) SBERT sentence embeddings + clustering to discover L2 subtopics. 4) Hedging and salience: train a supervised hedging classifier to estimate hedge_prob for each sentence; compute salience_m = exp(−β·position_m)·(1−hedge_prob_m) with β grid {0.1,0.5,1.0}. 5) Risk vectors and homogeneity: for each firm i and period t compute p_{i,t} = normalize(∑_m salience_m·onehot(category_m)). Compute three sector indices per time t: cosine mean, Jensen–Shannon mean (normalized), and entropy‑based concentration; standardize indices to z‑scores within jurisdiction. 6) Measurement error propagation: estimate classifier confusion matrices on holdout data; run SIMEX/Monte‑Carlo to simulate misclassification and produce attenuation‑corrected estimates and confidence bands. 7) Network construction and imputation: assemble multilayer exposures (counterparty, common assets, return correlations); where links are unobserved generate M=50 imputations using max‑entropy, constrained bipartite reconstruction, and regression‑based imputation; log provenance for each edge. 8) Contagion simulations: for each imputed network run R=1,000 stochastic contagion simulations (balance‑sheet loss propagation, mark‑to‑market fire sales with square‑root price impact, funding runs). Map homogeneity to behavior via simple rules (probability of sale = base + alpha*homogeneity*salience; lending tightening = lambda*homogeneity) and sweep alpha/lambda grids. 9) Identification: pre‑register synthetic control for sector shocks as primary, staggered DiD/event‑study and shift‑share IVs as secondary. Report first‑stage F, LIML/Anderson‑Rubin where needed, and small‑sample inference (permutation or wild bootstrap) for donor‑poor cases. 10) Reproducibility: containerize code, use Snakemake + DVC for data versioning, and publish aggregated indices with provenance and minimum‑N disclosure rules.</w:t>
      </w:r>
    </w:p>
    <w:p>
      <w:r>
        <w:t xml:space="preserve"> </w:t>
      </w:r>
    </w:p>
    <w:p>
      <w:pPr>
        <w:pStyle w:val="Heading2"/>
      </w:pPr>
      <w:r>
        <w:t>Experiments</w:t>
      </w:r>
    </w:p>
    <w:p>
      <w:r>
        <w:t>Datasets: 1) Filings: EDGAR (US) filings 2005–2022 risk sections; public EU and UK filings for same window. 2) Market data: daily returns, CDS spreads, bond yields; 13F holdings and mutual fund flow series; supervisory or public margin proxies if available. Baselines: A) rule‑based lexicon extraction; B) SBERT embedding + clustering; C) FinBERT fine‑tuned classifier. Tasks and metrics: 1) Extraction: evaluate span detection and category labeling on held‑out gold set; report precision, recall, F1 by category, macro‑F1, calibration (Brier score), and confusion matrices. 2) Hedging: evaluate hedging classifier ROC‑AUC and precision/recall; report effect of hedging on salience weights. 3) Homogeneity construction: compute Cosine, JS, Entropy indices per sector×period; report time series and cross‑method correlations. 4) Measurement‑error simulation: inject controlled misclassification rates (0–30%) into labels and compute bias curves for homogeneity indices and causal coefficients (SIMEX and direct simulation). 5) Causal tests: primary experiment—synthetic control on pre‑specified regulatory/taxonomy shocks (example events), report root mean squared prediction error (pre/post), placebo MSPE ratios, and p‑values via permutation; secondary—staggered DiD with event windows [-6,+12] months, report coefficient, clustered SEs, and pre‑trend plots; IV—shift‑share instrument (timing×exposure), report first‑stage F&gt;10, LIML estimates and Conley bounds. 6) Contagion experiments: use ensemble M=50 imputations × R=1,000 runs; report median and 5–95% interval for SRISK, MES, DebtRank, expected 95th percentile loss, largest cascade size, and fraction defaulted. 7) Ablations: compare taxonomies (L1 only, L1+L2, collapsed), embedding pipelines (FinBERT vs SBERT vs rule), hedging beta {0.1,0.5,1.0}, and homogeneity metrics (Cosine, JS, Entropy). 8) Backtests: run experiments on 2008 and Feb–Mar 2020 windows and compare homogeneity shifts to CDS jumps and realized volatility spikes. Experimental setup: pre-register outcomes and specs; cluster SEs at firm and sector; use Romano–Wolf for familywise corrections; provide replication package with container and a small sample corpus.</w:t>
      </w:r>
    </w:p>
    <w:p>
      <w:r>
        <w:t xml:space="preserve"> </w:t>
      </w:r>
    </w:p>
    <w:p>
      <w:pPr>
        <w:pStyle w:val="Heading2"/>
      </w:pPr>
      <w:r>
        <w:t>Risk Factors And Limitations</w:t>
      </w:r>
    </w:p>
    <w:p>
      <w:r>
        <w:t>1) Annotation and extraction error: limited gold‑set size or low inter‑annotator agreement will bias classifiers and homogeneity measures; misclassification can attenuate causal estimates. 2) Hedging and boilerplate: imperfect hedging detection or mis‑weighting of boilerplate text can create spurious homogeneity signals. 3) Taxonomy ambiguity: ambiguous mentions and arbitrary L2 splits can change indices; automated merges may obscure true differences. 4) Identification limits: synthetic control needs adequate donor pools; multi‑sector shocks and simultaneous events complicate causal attribution. 5) Network missingness: imputation relies on strong assumptions and may misstate connectivity; contagion results depend on imputation priors. 6) Small‑sample inference: few treated sectors or donors reduce power and make standard SEs unreliable. 7) Data and licensing: access restrictions or vendor limits may constrain market or holdings data. 8) Compute cost and scale: fine‑tuning large models and running 50k+ simulations require significant GPU/CPU and storage. 9) External validity: results from selected jurisdictions, sectors, or time windows may not generalize. 10) Measurement of systemic outcomes: proxies (SRISK, MES, DebtRank) are model‑dependent and noisy, which can obscure true economic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