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ca_repair_initiation_ghana</w:t>
      </w:r>
    </w:p>
    <w:p>
      <w:r>
        <w:t xml:space="preserve"> </w:t>
      </w:r>
    </w:p>
    <w:p>
      <w:pPr>
        <w:pStyle w:val="Heading2"/>
      </w:pPr>
      <w:r>
        <w:t>Title</w:t>
      </w:r>
    </w:p>
    <w:p>
      <w:r>
        <w:t>A conversation-analytic study of repair initiation as a mechanism for resolving communication breakdowns in Ghanaian ESL classrooms</w:t>
      </w:r>
    </w:p>
    <w:p>
      <w:r>
        <w:t xml:space="preserve"> </w:t>
      </w:r>
    </w:p>
    <w:p>
      <w:pPr>
        <w:pStyle w:val="Heading2"/>
      </w:pPr>
      <w:r>
        <w:t>Short Hypothesis</w:t>
      </w:r>
    </w:p>
    <w:p>
      <w:r>
        <w:t>Restricted other-initiations (explicitly targeting a prior turn, e.g., "Which word?") cause higher immediate student uptake and correct resolution of repair sequences than open other-initiations (general requests, e.g., "What?") in Ghanaian ESL classrooms.</w:t>
      </w:r>
    </w:p>
    <w:p>
      <w:r>
        <w:t xml:space="preserve"> </w:t>
      </w:r>
    </w:p>
    <w:p>
      <w:pPr>
        <w:pStyle w:val="Heading2"/>
      </w:pPr>
      <w:r>
        <w:t>Related Work</w:t>
      </w:r>
    </w:p>
    <w:p>
      <w:r>
        <w:t>Conversation analysis (CA) literature identifies repair as a core interactional mechanism; prior classroom CA work reports frequent self-repair, teacher-initiated repair, and sequential patterns that manage trouble. Prosody and phonetic analyses have shown that pitch, lengthening, and pause patterns accompany repair initiations. Multimodal studies emphasize gaze and gesture as coordination resources in repair. Limitations: most prior studies use small or non-stratified samples, lack precise temporal alignment across transcript, audio and video, and do not integrate speaker-normalized phonetic baselines for local English varieties. Code-switching and cultural context are often under-annotated, reducing interpretability in multilingual classrooms. Reliability procedures and operational definitions for multimodal repair initiation are inconsistently reported, limiting reproducibility and cross-study comparison.</w:t>
      </w:r>
    </w:p>
    <w:p>
      <w:r>
        <w:t xml:space="preserve"> </w:t>
      </w:r>
    </w:p>
    <w:p>
      <w:pPr>
        <w:pStyle w:val="Heading2"/>
      </w:pPr>
      <w:r>
        <w:t>Abstract</w:t>
      </w:r>
    </w:p>
    <w:p>
      <w:r>
        <w:t>This study examines how repair initiation functions to resolve hearing, speaking, and comprehension troubles in Ghanaian ESL classrooms using conversation analysis combined with multimodal and phonetic annotation. We analyze a 52-hour stratified corpus of classroom recordings to identify repair-initiating actions (open, restricted, candidate, confirmation request) and measure their interactional consequences. We produce time-aligned Jeffersonian transcripts, ELAN multimodal tiers (gaze, gesture, posture), and Praat-derived prosodic measures normalized per speaker. Main contributions are: (1) a clear operational definition and auditable query procedure for locating repair initiations across a large corpus; (2) empirically grounded mappings between repair formats, embodied conduct, and prosodic cues in a Ghanaian ESL setting; and (3) reproducible coding and reliability protocols with temporal tolerance windows and normalization scripts. Expected outcomes include quantifiable differences in repair success across formats, multimodal exemplars for pedagogy, and an open, versioned analytic pipeline to support reproducibility.</w:t>
      </w:r>
    </w:p>
    <w:p>
      <w:r>
        <w:t xml:space="preserve"> </w:t>
      </w:r>
    </w:p>
    <w:p>
      <w:pPr>
        <w:pStyle w:val="Heading2"/>
      </w:pPr>
      <w:r>
        <w:t>Methodology</w:t>
      </w:r>
    </w:p>
    <w:p>
      <w:r>
        <w:t>1) Operationalize repair initiation: define inclusion rules for an initiation as any turn or embodied act that imposes a next-turn repair on a prior turn (examples: lexical query, partial repeat, prosodic call, non-verbal request). Exclude off-task talk and fully unintelligible segments. 2) Search and sampling: use stratified random sampling (by teacher, school type, grade, lesson) to draw 50–80 candidate sequences from the 52-hour corpus using documented query scripts and a fixed random seed. 3) Transcription: produce Jeffersonian transcripts aligned to video/audio in ELAN. Jeffersonian transcription is a CA notation system that records pauses, overlaps and intonation; ELAN is software for time-aligned multimodal annotation. 4) Multimodal annotation: add ELAN tiers for gaze (mutual gaze, aversion), gesture (deictic, iconic, beat), posture, and object use. Mark onset/offset times precisely. 5) Phonetic annotation: extract F0 (pitch), intensity, speech rate, pauses, and overlap timings in Praat. Normalize F0/intensity per speaker via z-scoring using baseline windows (30s neutral speech). Praat is software for acoustic analysis. 6) Coding: apply the CA codebook (open/restricted/candidate/confirmation; trouble types: hearing/speaking/comprehension), plus language tags for code-switching (full-word and partial-word tags). 7) Reliability: run three calibration rounds (6, 12, 20 overlapping sequences), compute percent agreement, Cohen’s kappa for categorical codes, Krippendorff’s alpha for ordinal, ICC for continuous timing, and event overlap metrics. 8) Temporal windows: use pilot-derived tolerance windows (gaze ±250 ms, gesture ±300 ms, prosody ±100 ms) and record decisions. 9) Member-checks and reflexivity: present anonymized exemplars to local teachers for feedback; log reflexive memos after analytic sessions. 10) Version control and reproducibility: store transcripts, ELAN files, Praat TextGrids, and analysis scripts in Git with clear commit messages.</w:t>
      </w:r>
    </w:p>
    <w:p>
      <w:r>
        <w:t xml:space="preserve"> </w:t>
      </w:r>
    </w:p>
    <w:p>
      <w:pPr>
        <w:pStyle w:val="Heading2"/>
      </w:pPr>
      <w:r>
        <w:t>Experiments</w:t>
      </w:r>
    </w:p>
    <w:p>
      <w:r>
        <w:t>Dataset: 52 hours of Ghanaian ESL classroom recordings from 13 teachers across four school types (urban public, urban private, rural public, mission/other), with metadata for teacher, grade, lesson type, and language repertoires. Candidate pool: 50–80 sequences stratified as specified; pilots: 15 worked exemplars. Baselines: (A) open other-initiation, (B) restricted other-initiation, (C) candidate understanding/confirmation requests, and (D) transcript-only (no multimodal/prosodic features) as an ablation. Evaluation metrics: immediate uptake rate (binary: uptake within next turn), repair success rate (binary: trouble resolved within two turns), time-to-resolution (ms), percent agreement and Cohen’s kappa for categorical codes, ICC for onset times, event overlap (IOU) for durations, and intelligibility SNR (dB). Experimental setup: 1) Stratified random sampling with fixed seed; 2) Paired-analyst coding with three calibration rounds (n=6,12,20 overlap); 3) Statistical tests: mixed-effects logistic regression for binary outcomes (fixed effect: repair format; random intercepts: teacher, classroom, sequence), linear mixed models for time-to-resolution; chi-square tests for categorical comparisons. Include speaker-normalized prosodic covariates (z-scored F0, intensity) and multimodal indicators (gaze present, deictic gesture present) in models. Ablation study: compare full-model (transcript + prosody + multimodal) vs transcript-only to measure added explanatory power (likelihood ratio test and change in AIC). Temporal-window sensitivity: repeat temporal agreement and outcome models with ±50 ms adjustments to tolerance windows. Report effect sizes, 95% confidence intervals, and p-values. Reliability reporting: provide prevalence-adjusted kappa, confidence intervals for kappa/ICC, and per-code confusion tables.</w:t>
      </w:r>
    </w:p>
    <w:p>
      <w:r>
        <w:t xml:space="preserve"> </w:t>
      </w:r>
    </w:p>
    <w:p>
      <w:pPr>
        <w:pStyle w:val="Heading2"/>
      </w:pPr>
      <w:r>
        <w:t>Risk Factors And Limitations</w:t>
      </w:r>
    </w:p>
    <w:p>
      <w:r>
        <w:t>1) Audio/video quality: poor SNR, distant microphones, or camera angles may render turns unintelligible and reduce usable sample size. 2) Annotator bias and subjectivity: multimodal coding (gaze, gesture) can be ambiguous and produce low reliability for some items. 3) Sparse cells: some repair formats or trouble-type combinations may occur fewer than 10 times, preventing robust distributional claims. 4) Temporal alignment errors: imprecise onset-offset marking may bias temporal metrics and ICC estimates. 5) Speaker diarization and overlap: dense classroom overlap complicates speaker attribution and acoustic measures. 6) Generalization limits: findings may not generalize beyond Ghanaian classroom ecologies or age/grade ranges studied. 7) Ethical and sharing constraints: consent limits may restrict public release of audiovisual exemplars, reducing reproducibility. 8) Resource constraints: person-hour and training needs are high; delays in calibration or transcription workshops will slow progress. 9) Normalization artifacts: speaker-level z-scoring assumes stable baselines and may distort prosodic comparisons if baseline segments are unrepresentative.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