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military_boards_audit_quality</w:t>
      </w:r>
    </w:p>
    <w:p>
      <w:r>
        <w:t xml:space="preserve"> </w:t>
      </w:r>
    </w:p>
    <w:p>
      <w:pPr>
        <w:pStyle w:val="Heading2"/>
      </w:pPr>
      <w:r>
        <w:t>Title</w:t>
      </w:r>
    </w:p>
    <w:p>
      <w:r>
        <w:t>Staggered event-study difference-in-differences evaluation of military-experienced directors and audit-quality effects on accrual and real earnings management in Pakistan</w:t>
      </w:r>
    </w:p>
    <w:p>
      <w:r>
        <w:t xml:space="preserve"> </w:t>
      </w:r>
    </w:p>
    <w:p>
      <w:pPr>
        <w:pStyle w:val="Heading2"/>
      </w:pPr>
      <w:r>
        <w:t>Short Hypothesis</w:t>
      </w:r>
    </w:p>
    <w:p>
      <w:r>
        <w:t>The appointment of senior military-experienced directors (retired commissioned officers rank Brigadier+) to a firm's board causes a reduction in both accrual-based and real earnings management in Pakistani non-financial firms, and this reduction is larger when audit quality is higher.</w:t>
      </w:r>
    </w:p>
    <w:p>
      <w:r>
        <w:t xml:space="preserve"> </w:t>
      </w:r>
    </w:p>
    <w:p>
      <w:pPr>
        <w:pStyle w:val="Heading2"/>
      </w:pPr>
      <w:r>
        <w:t>Related Work</w:t>
      </w:r>
    </w:p>
    <w:p>
      <w:r>
        <w:t>Existing studies link director background and board connections to corporate governance and earnings quality, and other research shows audit quality correlates with less earnings management. Common methods include cross-sectional regressions, fixed-effects panels, and basic DiD. Limitations in prior work are: (1) weak causal identification—many studies rely on simple before/after or TWFE designs that can be biased with staggered treatment timing; (2) measurement gaps—real earnings management and multi-proxy audit quality are often incompletely measured or aggregated without clear decision rules; (3) sample and context bias—most evidence comes from developed markets or single-case studies, reducing transferability to emerging markets like Pakistan; (4) endogeneity—auditor choice and director appointments are endogenous and instruments used are sometimes weak or poorly validated; (5) data limitations—biography misclassification and missing audit fees reduce reliability.</w:t>
      </w:r>
    </w:p>
    <w:p>
      <w:r>
        <w:t xml:space="preserve"> </w:t>
      </w:r>
    </w:p>
    <w:p>
      <w:pPr>
        <w:pStyle w:val="Heading2"/>
      </w:pPr>
      <w:r>
        <w:t>Abstract</w:t>
      </w:r>
    </w:p>
    <w:p>
      <w:r>
        <w:t>This study examines whether appointing senior military-experienced directors to corporate boards affects accrual-based and real earnings management, and whether audit quality moderates those effects, using non-financial firms listed on the Pakistan Stock Exchange (2010–2022). We apply a staggered event-study difference-in-differences design that exploits within-firm timing of first appointments and reports dynamic effects across event years. Military affiliation is hand-coded with predefined rank thresholds (Brigadier+). Audit quality is a multi-proxy index combining Big4 status, office-level industry specialization, office distance to firm HQ, tenure, and abnormal fees. Primary outcomes are modified-Jones discretionary accruals and a standardized REM index from Roychowdhury components. We pre-specify balance, pre-trend, and robustness tests (propensity/entropy balancing, auditor-switch DiD, Oster bounds, IV sensitivity). The main contribution is a causal, institutionally grounded estimate of how military board experience and audit quality interact to shape earnings management in an emerging market. Expected findings are reduced earnings management following appointments, with stronger effects under higher audit quality.</w:t>
      </w:r>
    </w:p>
    <w:p>
      <w:r>
        <w:t xml:space="preserve"> </w:t>
      </w:r>
    </w:p>
    <w:p>
      <w:pPr>
        <w:pStyle w:val="Heading2"/>
      </w:pPr>
      <w:r>
        <w:t>Methodology</w:t>
      </w:r>
    </w:p>
    <w:p>
      <w:r>
        <w:t>1. Data assembly: build a panel of non-financial firms listed on the Pakistan Stock Exchange from 2010–2022. Collect annual financials, auditor reports, and director biographies from PSX filings, SECP disclosures, company reports, and reputable news archives. 2. Military coding: hand-code directors; primary flag = retired commissioned officers rank Brigadier+ (Army, Navy, Air Force). Separately flag paramilitary/military-adjacent roles. Two independent coders, third coder adjudication, report Cohen’s kappa. 3. Earnings management measures: (a) Accrual EM: compute total accruals TAC = ΔCA − ΔCL − ΔCash + ΔSTDebt − Dep; scale by Assets_{t−1}; estimate modified-Jones residuals at industry×year (fallback to industry if small cell). Kothari performance-matched DA is a robustness alternative. (b) Real EM: estimate Roychowdhury components (abnormal CFO/Sales, abnormal production costs, abnormal discretionary expenses) by industry-year, standardize components, aggregate via PCA first component and a z-score average. Winsorize continuous variables at 1%/99%. 4. AuditQ index: create standardized components—Big4 indicator, auditor industry-specialist (office or firm market share by industry-year), auditor-office distance to firm HQ (km), auditor tenure (years), abnormal audit fees (residuals from a fee benchmark). Standardize and combine by PCA; also report simple average. If audit fees are missing, pre-specify multiple imputation by chained equations (MICE) conditional on size, complexity, industry; primary moderation uses non-fee proxies. 5. Primary estimator: Callaway &amp; Sant’Anna staggered event-study DiD around the year of first senior military appointment. Pre-register symmetric windows t−4..t+4 with primary inference on t−3..t+3. Include firm and year fixed effects, controls lagged one year (log assets, leverage, ROA, Tobin’s Q, sales growth, sales volatility, board size, board independence, CEO duality, ownership concentration, institutional ownership, lagged EM). Cluster SEs at firm level; use wild-cluster bootstrap if cluster count &lt;50. 6. Moderation: include MilitaryShare × AuditQ interaction and report marginal effects at mean and ±1 SD; complement with stratified median-split DiD. 7. Robustness: propensity-score and entropy balancing on pre-treatment covariates and trends; auditor-switch DiD (non-Big4→Big4) as audit-causality check; Oster bounds for selection on unobservables; exploratory IVs (regional retired-officer density, distance to nearest Big4 office) with first-stage diagnostics and Conley plausible-exogeneity bounds. 8. Diagnostics: joint pre-trend F-tests for t−4..t−1 (require p&gt;0.10 for central estimates), balance tables, first-stage F&gt;10, report delta in Oster bounds, and show effect sizes in SDs and monetary percent-of-assets.</w:t>
      </w:r>
    </w:p>
    <w:p>
      <w:r>
        <w:t xml:space="preserve"> </w:t>
      </w:r>
    </w:p>
    <w:p>
      <w:pPr>
        <w:pStyle w:val="Heading2"/>
      </w:pPr>
      <w:r>
        <w:t>Experiments</w:t>
      </w:r>
    </w:p>
    <w:p>
      <w:r>
        <w:t>Dataset: Pakistan Stock Exchange non-financial firms, 2010–2022, firm-year panel with director-level coding. Baselines: (1) naive OLS with controls and firm FE, (2) TWFE event-study, (3) Sun &amp; Abraham event-study, (4) Callaway &amp; Sant’Anna staggered DiD (primary). Additional comparators: propensity-score matched DiD, auditor-switch DiD. Outcomes: modified-Jones DA (continuous), Kothari DA (robustness), REM index (PCA first PC and z-score average), and individual REM components. Evaluation metrics: point estimates and 95% CIs, clustered SEs, standardized effect sizes (sigma units), percent-of-assets translation, p-values adjusted by Benjamini–Hochberg within outcome families, Oster delta to null, first-stage F for IVs, joint F for pre-trends. Experimental setup: primary event window t−3..t+3 (report full t−4..t+4), firm and year FE, controls lagged one year, firm clustering, two-way clustering sensitivity (firm and industry×year), wild-cluster bootstrap if clusters &lt;50. Ablation studies: (A) remove AuditQ interaction (test main effect only), (B) use Big4-only audit proxy instead of full AuditQ, (C) replace modified-Jones with Kothari DA, (D) fee-imputed vs complete-case audit-fee results, (E) misclassification simulation: inject 0%, 5%, 10% random false positives and false negatives in military coding and re-estimate to assess sensitivity. IV and instrument checks: report balance on pre-treatment covariates, placebo outcomes (non-discretionary cash flows, fixed asset growth), lead-effect tests (placebo leads up to t−4), geographic balance maps, first-stage F and Kleibergen-Paap, Conley bounds. Reporting: full results table with central estimates, robustness columns, pre-registered decision rules flagging exploratory analyses.</w:t>
      </w:r>
    </w:p>
    <w:p>
      <w:r>
        <w:t xml:space="preserve"> </w:t>
      </w:r>
    </w:p>
    <w:p>
      <w:pPr>
        <w:pStyle w:val="Heading2"/>
      </w:pPr>
      <w:r>
        <w:t>Risk Factors And Limitations</w:t>
      </w:r>
    </w:p>
    <w:p>
      <w:r>
        <w:t>1. Data quality: director biography misclassification and missing or inconsistent PSX/SECP disclosures may bias military flags; hand-coding is time-consuming. 2. Audit-fee missingness: sparse fee data, especially outside major cities, may limit audit-fee based measures and reduce sample size after complete-case filtering. 3. Instrument validity: proposed instruments (regional retired-officer density, distance to Big4) may violate exclusion restrictions if regional shocks affect earnings management directly. 4. Endogeneity: auditor choice and director appointments may be endogenous to unobserved firm shocks; even DiD and balancing may not fully remove bias. 5. Anticipatory effects: firms may change behavior before formal appointments, complicating causal timing. 6. Power: subgroups and narrow event windows may have low sample size, producing imprecise estimates. 7. Measurement error: REM components and DA depend on accounting inputs and industry-year estimation cells; small cells reduce reliability. 8. Generalization: results from Pakistan may not generalize to other emerging markets with different civil-military relations. 9. Cluster inference: small number of clusters can invalidate standard SEs and require computationally intensive wild bootstraps. 10. Computational constraints: extensive robustness (IVs, bootstrap, MICE) requires computation and careful reproducible workflows.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