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saudi_21c_skills_integration</w:t>
      </w:r>
    </w:p>
    <w:p>
      <w:r>
        <w:t xml:space="preserve"> </w:t>
      </w:r>
    </w:p>
    <w:p>
      <w:pPr>
        <w:pStyle w:val="Heading2"/>
      </w:pPr>
      <w:r>
        <w:t>Title</w:t>
      </w:r>
    </w:p>
    <w:p>
      <w:r>
        <w:t>A sequential exploratory mixed-methods study of English and mathematics teachers' integration of 21st century skills and barriers in Saudi Arabian classrooms</w:t>
      </w:r>
    </w:p>
    <w:p>
      <w:r>
        <w:t xml:space="preserve"> </w:t>
      </w:r>
    </w:p>
    <w:p>
      <w:pPr>
        <w:pStyle w:val="Heading2"/>
      </w:pPr>
      <w:r>
        <w:t>Short Hypothesis</w:t>
      </w:r>
    </w:p>
    <w:p>
      <w:r>
        <w:t>Teachers who receive targeted professional development and have greater access to instructional resources will show higher observed integration of creativity, collaboration, critical thinking, and communication in English and mathematics lessons than teachers without those supports.</w:t>
      </w:r>
    </w:p>
    <w:p>
      <w:r>
        <w:t xml:space="preserve"> </w:t>
      </w:r>
    </w:p>
    <w:p>
      <w:pPr>
        <w:pStyle w:val="Heading2"/>
      </w:pPr>
      <w:r>
        <w:t>Related Work</w:t>
      </w:r>
    </w:p>
    <w:p>
      <w:r>
        <w:t>Prior studies have documented some teacher-reported use of 21st century skills (creativity, collaboration, critical thinking, communication) in Saudi classrooms but rely heavily on self-report surveys, small convenience samples, or single-method designs. Observation-based studies exist but are limited in scale, often lack behaviorally anchored rubrics, and rarely use multilevel sampling to distinguish school- versus teacher-level effects. Mixed-methods designs have been used to triangulate practices and barriers, yet many reports omit rigorous translation procedures for Arabic variants, do not apply modern psychometric models (such as graded-response IRT) to ordinal item data, and lack formal plans for inter-rater reliability calibration and reactivity assessment. These gaps limit causal inference about which contextual factors (e.g., resources, PD, policy) drive observed instructional enactment and reduce generalizability across regions, genders, and school types.</w:t>
      </w:r>
    </w:p>
    <w:p>
      <w:r>
        <w:t xml:space="preserve"> </w:t>
      </w:r>
    </w:p>
    <w:p>
      <w:pPr>
        <w:pStyle w:val="Heading2"/>
      </w:pPr>
      <w:r>
        <w:t>Abstract</w:t>
      </w:r>
    </w:p>
    <w:p>
      <w:r>
        <w:t>This study measures how English and mathematics teachers in Saudi Arabia integrate four 21st century skills—creativity, collaboration, critical thinking, and communication—into classroom instruction and identifies the main barriers to integration. We use a sequential exploratory mixed-methods design: semi-structured interviews to surface context-specific practices and barriers, a piloted teacher survey developed from interview themes, and structured classroom observations using a behaviorally anchored rubric. Main contributions are (1) validated, bilingual instruments and observation rubrics with graded intensity scoring; (2) multilevel empirical estimates of skill integration across 40 schools and ~240 teachers with explicit power calculations; and (3) analysis linking qualitative barriers to quantitative strata and to optional student outcomes. Expected outcomes include reliable measurement scales, evidence on the role of resources and PD in skill enactment, and policy-relevant profiles to guide targeted professional development and MoE decisions.</w:t>
      </w:r>
    </w:p>
    <w:p>
      <w:r>
        <w:t xml:space="preserve"> </w:t>
      </w:r>
    </w:p>
    <w:p>
      <w:pPr>
        <w:pStyle w:val="Heading2"/>
      </w:pPr>
      <w:r>
        <w:t>Methodology</w:t>
      </w:r>
    </w:p>
    <w:p>
      <w:r>
        <w:t>1. Overall design: sequential exploratory mixed-methods. Phase A: qualitative interviews and document anchors. Phase B: instrument development, pilot, and translation. Phase C: observation and survey fieldwork, psychometric and multilevel analysis. 2. Sampling: stratified random sample of 40 schools from MoE lists across five regions, urban/rural, public/private, boys/girls; target ~6 teachers per school (≈240 teachers). Interview subsample: purposive 24–30 teachers balanced by subject, gender, and school type. 3. Qualitative phase: semi-structured interviews (45–60 min) in Arabic or English; thematic coding using a hybrid deductive–inductive codebook seeded by the 4Cs and barrier categories. Double-code ≥25% of transcripts; stop at saturation (no new codes across three consecutive interviews). 4. Instrument development: derive survey items from qualitative themes. Translation workflow: two independent forward translations (into Modern Standard Arabic and common classroom dialect where relevant), reconciliation by bilingual expert committee, back-translation, and documentation of decisions. Cognitive interviews (8–12 per language) using think-aloud and probes; revise iteratively. 5. Observation rubric: behaviorally anchored indicators per skill with intensity anchors 0=none,1=moderate,2=high. Observers trained 12 hours with three video calibration sessions; double-code initial 30% of lessons. 6. Pilot and psychometrics: pilot survey N≈200 stratified by subject/gender/school type. Perform EFA (oblique rotation) then CFA. Fit graded-response IRT (an ordinal item model; it models response probabilities across ordered categories) to estimate item discrimination and thresholds and to compute test information. Test measurement invariance and DIF across subject, gender, and region. 7. Missing data and analysis: use multilevel multiple imputation (m ≥ max(20, %missing)). Primary models are multilevel linear mixed models with random intercepts for school and teacher; report standardized effects and ICCs (ICC = proportion of variance at school level). 8. Integration: create joint displays linking qualitative barrier themes to quantitative scale strata and produce case profiles for PD design.</w:t>
      </w:r>
    </w:p>
    <w:p>
      <w:r>
        <w:t xml:space="preserve"> </w:t>
      </w:r>
    </w:p>
    <w:p>
      <w:pPr>
        <w:pStyle w:val="Heading2"/>
      </w:pPr>
      <w:r>
        <w:t>Experiments</w:t>
      </w:r>
    </w:p>
    <w:p>
      <w:r>
        <w:t>1. Data collected: (a) Interviews: n=24–30 teachers; (b) Pilot survey: n≈200; (c) Main survey: n≈240 teachers across 40 schools; (d) Observations: 2 lessons observed per observed teacher where possible (short visits 20–30 min and 1 full lesson video when consented); (e) Validation anchors: 7-day lesson logs, 1–2 anonymized student work samples per teacher, student-report parallel items (where consent obtained), optional linked student achievement (subset). 2. Baselines: A. self-report-only model (survey scales alone); B. observation-only model (rubric-derived intensity scores alone); C. unvalidated survey baseline (items prior to cognitive refinement). 3. Experimental comparisons / ablations: a) Compare mixed (survey+observation) model vs. self-report-only vs. observation-only for prediction of student-report and, where available, student achievement; b) Ablation removing technology-related items to assess their contribution; c) Psychometric ablation: graded-response IRT vs. classical CFA scoring to compare reliability and information. 4. Analysis pipeline: - Pilot: EFA with parallel analysis; retain loadings ≥.40. - Confirmatory: CFA with CFI/TLI≥.95 target, RMSEA&lt;.06; compute reliability ω/α≥.70. - IRT: graded-response model estimating item discrimination (a) and threshold (b) parameters; compute test information curves. - DIF: ordinal logistic regression and IRT-based DIF detection; flag items with |ΔR2|&gt;0.02 or significant IRT DIF. - Multilevel inference: linear mixed models with random intercepts for school and teacher; pre-specified contrasts: English vs Math, urban vs rural, boys vs girls schools. Report standardized β with 95% CI and ICCs. - Reactivity assessment: model visit-order effects and compare first vs later visits; report effect size of visit order. - Reliability metrics: Krippendorff’s alpha or Cohen’s kappa for observers (target ≥0.70 initial, ≥0.80 analytic). 5. Evaluation metrics: scale reliability (ω, α), CFA fit indices (CFI/TLI, RMSEA, SRMR), IRT model fit and item information, ICCs, effect sizes (standardized β, Cohen’s d), MDES from multilevel power sims, inter-rater reliability statistics, predictive validity (correlation with student-report and achievement).</w:t>
      </w:r>
    </w:p>
    <w:p>
      <w:r>
        <w:t xml:space="preserve"> </w:t>
      </w:r>
    </w:p>
    <w:p>
      <w:pPr>
        <w:pStyle w:val="Heading2"/>
      </w:pPr>
      <w:r>
        <w:t>Risk Factors And Limitations</w:t>
      </w:r>
    </w:p>
    <w:p>
      <w:r>
        <w:t>1. Selection bias: nonrandom teacher refusals or volunteer sampling within schools can bias estimates of practice frequency and barriers. 2. Observer reactivity (Hawthorne effect): teachers may change behavior when observed; short unannounced visits and habituation reduce but do not eliminate this risk; visit-order effects may confound estimates. 3. Social desirability: teacher self-reports may overstate integration of skills, limiting validity of survey-only analyses. 4. Translation and dialect issues: Modern Standard Arabic may not capture classroom dialects; items may shift meaning across variants, causing measurement non-equivalence. 5. IRR and coder drift: insufficient training or low agreement will weaken observational data utility and may prevent use of observation indices in models. 6. Partial linkage to student achievement: MoE permission may be granted for only a subset, producing missing-not-at-random linkage and reducing power for student-outcome analyses. 7. Psychometric failure modes: IRT models may not converge for small item sets or extreme response distributions, limiting ability to estimate item parameters. 8. Power limits for subgroup contrasts: some planned subgroup tests (e.g., region × gender interactions) may have low precision if participation rates fall below targets. 9. Ethical and logistical constraints: video recording in gender-segregated contexts may face consent barriers, reducing observational sample size. 10. Generalization: findings may be specific to Saudi curricular, cultural, and policy contexts and may not generalize to other countries or subject areas.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